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0778" w:rsidRDefault="00570778">
      <w:pPr>
        <w:spacing w:line="300" w:lineRule="auto"/>
      </w:pPr>
    </w:p>
    <w:p w:rsidR="00570778" w:rsidRDefault="00570778">
      <w:pPr>
        <w:spacing w:line="300" w:lineRule="auto"/>
        <w:rPr>
          <w:b/>
          <w:bCs/>
          <w:sz w:val="32"/>
        </w:rPr>
      </w:pPr>
    </w:p>
    <w:p w:rsidR="00570778" w:rsidRDefault="00570778">
      <w:pPr>
        <w:spacing w:line="300" w:lineRule="auto"/>
        <w:rPr>
          <w:b/>
          <w:bCs/>
          <w:sz w:val="32"/>
        </w:rPr>
      </w:pPr>
    </w:p>
    <w:p w:rsidR="00570778" w:rsidRDefault="00570778">
      <w:pPr>
        <w:spacing w:line="300" w:lineRule="auto"/>
        <w:rPr>
          <w:b/>
          <w:bCs/>
          <w:sz w:val="32"/>
        </w:rPr>
      </w:pPr>
    </w:p>
    <w:p w:rsidR="00570778" w:rsidRDefault="00570778">
      <w:pPr>
        <w:spacing w:line="300" w:lineRule="auto"/>
        <w:rPr>
          <w:b/>
          <w:bCs/>
          <w:sz w:val="32"/>
        </w:rPr>
      </w:pPr>
    </w:p>
    <w:p w:rsidR="00570778" w:rsidRDefault="00D01B3C">
      <w:pPr>
        <w:spacing w:line="300" w:lineRule="auto"/>
        <w:jc w:val="center"/>
        <w:rPr>
          <w:b/>
          <w:bCs/>
          <w:sz w:val="44"/>
          <w:szCs w:val="44"/>
        </w:rPr>
      </w:pPr>
      <w:r>
        <w:rPr>
          <w:rFonts w:hAnsi="宋体" w:hint="eastAsia"/>
          <w:b/>
          <w:bCs/>
          <w:sz w:val="44"/>
          <w:szCs w:val="44"/>
        </w:rPr>
        <w:t>《煤中氟</w:t>
      </w:r>
      <w:r>
        <w:rPr>
          <w:rFonts w:hAnsi="宋体" w:hint="eastAsia"/>
          <w:b/>
          <w:bCs/>
          <w:sz w:val="44"/>
          <w:szCs w:val="44"/>
        </w:rPr>
        <w:t>/</w:t>
      </w:r>
      <w:r>
        <w:rPr>
          <w:rFonts w:hAnsi="宋体" w:hint="eastAsia"/>
          <w:b/>
          <w:bCs/>
          <w:sz w:val="44"/>
          <w:szCs w:val="44"/>
        </w:rPr>
        <w:t>氯测定仪校准规范》</w:t>
      </w:r>
    </w:p>
    <w:p w:rsidR="00570778" w:rsidRDefault="00D01B3C">
      <w:pPr>
        <w:spacing w:line="300" w:lineRule="auto"/>
        <w:jc w:val="center"/>
        <w:rPr>
          <w:b/>
          <w:bCs/>
          <w:sz w:val="44"/>
          <w:szCs w:val="44"/>
        </w:rPr>
      </w:pPr>
      <w:r>
        <w:rPr>
          <w:rFonts w:hAnsi="宋体" w:hint="eastAsia"/>
          <w:b/>
          <w:bCs/>
          <w:sz w:val="44"/>
          <w:szCs w:val="44"/>
        </w:rPr>
        <w:t>编制说明</w:t>
      </w:r>
    </w:p>
    <w:p w:rsidR="00570778" w:rsidRDefault="00570778">
      <w:pPr>
        <w:spacing w:line="300" w:lineRule="auto"/>
        <w:rPr>
          <w:b/>
          <w:bCs/>
          <w:sz w:val="32"/>
        </w:rPr>
      </w:pPr>
    </w:p>
    <w:p w:rsidR="00570778" w:rsidRDefault="00570778">
      <w:pPr>
        <w:spacing w:line="300" w:lineRule="auto"/>
        <w:rPr>
          <w:b/>
          <w:bCs/>
          <w:sz w:val="32"/>
        </w:rPr>
      </w:pPr>
    </w:p>
    <w:p w:rsidR="00570778" w:rsidRDefault="00570778">
      <w:pPr>
        <w:spacing w:line="300" w:lineRule="auto"/>
        <w:rPr>
          <w:b/>
          <w:bCs/>
          <w:sz w:val="32"/>
        </w:rPr>
      </w:pPr>
    </w:p>
    <w:p w:rsidR="00570778" w:rsidRDefault="00570778">
      <w:pPr>
        <w:spacing w:line="300" w:lineRule="auto"/>
        <w:rPr>
          <w:b/>
          <w:bCs/>
          <w:sz w:val="32"/>
        </w:rPr>
      </w:pPr>
    </w:p>
    <w:p w:rsidR="00570778" w:rsidRDefault="00570778">
      <w:pPr>
        <w:spacing w:line="300" w:lineRule="auto"/>
        <w:rPr>
          <w:b/>
          <w:bCs/>
          <w:sz w:val="32"/>
        </w:rPr>
      </w:pPr>
    </w:p>
    <w:p w:rsidR="00570778" w:rsidRDefault="00570778">
      <w:pPr>
        <w:spacing w:line="300" w:lineRule="auto"/>
        <w:rPr>
          <w:b/>
          <w:bCs/>
          <w:sz w:val="32"/>
        </w:rPr>
      </w:pPr>
    </w:p>
    <w:p w:rsidR="00570778" w:rsidRDefault="00570778">
      <w:pPr>
        <w:spacing w:line="300" w:lineRule="auto"/>
        <w:rPr>
          <w:b/>
          <w:bCs/>
          <w:sz w:val="32"/>
        </w:rPr>
      </w:pPr>
    </w:p>
    <w:p w:rsidR="00570778" w:rsidRDefault="00570778">
      <w:pPr>
        <w:spacing w:line="300" w:lineRule="auto"/>
        <w:rPr>
          <w:b/>
          <w:bCs/>
          <w:sz w:val="32"/>
        </w:rPr>
      </w:pPr>
    </w:p>
    <w:p w:rsidR="00570778" w:rsidRDefault="00570778">
      <w:pPr>
        <w:spacing w:line="300" w:lineRule="auto"/>
        <w:rPr>
          <w:b/>
          <w:bCs/>
          <w:sz w:val="32"/>
        </w:rPr>
      </w:pPr>
    </w:p>
    <w:p w:rsidR="00570778" w:rsidRDefault="00570778">
      <w:pPr>
        <w:spacing w:line="300" w:lineRule="auto"/>
        <w:rPr>
          <w:b/>
          <w:bCs/>
          <w:sz w:val="32"/>
        </w:rPr>
      </w:pPr>
    </w:p>
    <w:p w:rsidR="00570778" w:rsidRDefault="00570778">
      <w:pPr>
        <w:spacing w:line="300" w:lineRule="auto"/>
        <w:rPr>
          <w:b/>
          <w:bCs/>
          <w:sz w:val="32"/>
        </w:rPr>
      </w:pPr>
    </w:p>
    <w:p w:rsidR="00570778" w:rsidRDefault="00D01B3C">
      <w:pPr>
        <w:spacing w:line="300" w:lineRule="auto"/>
        <w:jc w:val="center"/>
        <w:rPr>
          <w:b/>
          <w:bCs/>
          <w:sz w:val="32"/>
        </w:rPr>
      </w:pPr>
      <w:r>
        <w:rPr>
          <w:rFonts w:hint="eastAsia"/>
          <w:b/>
          <w:bCs/>
          <w:sz w:val="32"/>
        </w:rPr>
        <w:t>2018.10.17</w:t>
      </w:r>
    </w:p>
    <w:p w:rsidR="00570778" w:rsidRDefault="00570778">
      <w:pPr>
        <w:spacing w:line="300" w:lineRule="auto"/>
        <w:rPr>
          <w:b/>
          <w:bCs/>
          <w:sz w:val="32"/>
        </w:rPr>
      </w:pPr>
    </w:p>
    <w:p w:rsidR="00570778" w:rsidRDefault="00570778">
      <w:pPr>
        <w:spacing w:line="300" w:lineRule="auto"/>
        <w:rPr>
          <w:b/>
          <w:bCs/>
          <w:sz w:val="32"/>
        </w:rPr>
      </w:pPr>
    </w:p>
    <w:p w:rsidR="00570778" w:rsidRDefault="00570778">
      <w:pPr>
        <w:spacing w:line="300" w:lineRule="auto"/>
        <w:rPr>
          <w:bCs/>
        </w:rPr>
      </w:pPr>
    </w:p>
    <w:p w:rsidR="00570778" w:rsidRDefault="00570778">
      <w:pPr>
        <w:jc w:val="center"/>
        <w:rPr>
          <w:b/>
          <w:sz w:val="30"/>
          <w:szCs w:val="30"/>
        </w:rPr>
      </w:pPr>
    </w:p>
    <w:p w:rsidR="00570778" w:rsidRDefault="00570778">
      <w:pPr>
        <w:jc w:val="center"/>
        <w:rPr>
          <w:b/>
          <w:sz w:val="30"/>
          <w:szCs w:val="30"/>
        </w:rPr>
        <w:sectPr w:rsidR="00570778">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720"/>
          <w:titlePg/>
          <w:docGrid w:type="lines" w:linePitch="312"/>
        </w:sectPr>
      </w:pPr>
    </w:p>
    <w:p w:rsidR="00570778" w:rsidRDefault="00D01B3C">
      <w:pPr>
        <w:jc w:val="center"/>
        <w:rPr>
          <w:b/>
          <w:sz w:val="30"/>
          <w:szCs w:val="30"/>
        </w:rPr>
      </w:pPr>
      <w:r>
        <w:rPr>
          <w:rFonts w:hint="eastAsia"/>
          <w:b/>
          <w:sz w:val="30"/>
          <w:szCs w:val="30"/>
        </w:rPr>
        <w:lastRenderedPageBreak/>
        <w:t>《煤中氟</w:t>
      </w:r>
      <w:r>
        <w:rPr>
          <w:rFonts w:hint="eastAsia"/>
          <w:b/>
          <w:sz w:val="30"/>
          <w:szCs w:val="30"/>
        </w:rPr>
        <w:t>/</w:t>
      </w:r>
      <w:r>
        <w:rPr>
          <w:rFonts w:hint="eastAsia"/>
          <w:b/>
          <w:sz w:val="30"/>
          <w:szCs w:val="30"/>
        </w:rPr>
        <w:t>氯测定仪校准规范》编制说明</w:t>
      </w:r>
    </w:p>
    <w:p w:rsidR="00570778" w:rsidRDefault="00570778">
      <w:pPr>
        <w:jc w:val="center"/>
        <w:rPr>
          <w:b/>
          <w:sz w:val="30"/>
          <w:szCs w:val="30"/>
        </w:rPr>
      </w:pPr>
    </w:p>
    <w:p w:rsidR="00570778" w:rsidRDefault="00D01B3C">
      <w:pPr>
        <w:spacing w:line="360" w:lineRule="auto"/>
        <w:rPr>
          <w:b/>
          <w:bCs/>
          <w:sz w:val="28"/>
          <w:szCs w:val="28"/>
        </w:rPr>
      </w:pPr>
      <w:r>
        <w:rPr>
          <w:rFonts w:hint="eastAsia"/>
          <w:b/>
          <w:bCs/>
          <w:sz w:val="28"/>
          <w:szCs w:val="28"/>
        </w:rPr>
        <w:t>一、任务来源</w:t>
      </w:r>
    </w:p>
    <w:p w:rsidR="00570778" w:rsidRDefault="00D01B3C">
      <w:pPr>
        <w:spacing w:line="360" w:lineRule="auto"/>
        <w:ind w:firstLineChars="200" w:firstLine="480"/>
        <w:rPr>
          <w:sz w:val="24"/>
        </w:rPr>
      </w:pPr>
      <w:r>
        <w:rPr>
          <w:rFonts w:hint="eastAsia"/>
          <w:sz w:val="24"/>
        </w:rPr>
        <w:t>湖南省计量检测研究院作为全国煤质仪器生产基地的法定计量技术机构，一直关注煤质仪器的技术发展，致力于煤质仪器量值溯源的技术服务，对煤质仪器的计量检定有着丰富的现场经验和技术积累。</w:t>
      </w:r>
    </w:p>
    <w:p w:rsidR="00570778" w:rsidRDefault="00D01B3C">
      <w:pPr>
        <w:spacing w:line="360" w:lineRule="auto"/>
        <w:ind w:firstLineChars="200" w:firstLine="480"/>
        <w:rPr>
          <w:sz w:val="24"/>
        </w:rPr>
      </w:pPr>
      <w:r>
        <w:rPr>
          <w:rFonts w:hint="eastAsia"/>
          <w:sz w:val="24"/>
        </w:rPr>
        <w:t>2017</w:t>
      </w:r>
      <w:r>
        <w:rPr>
          <w:rFonts w:hint="eastAsia"/>
          <w:sz w:val="24"/>
        </w:rPr>
        <w:t>年，国家质量监督检验检疫总局在</w:t>
      </w:r>
      <w:proofErr w:type="gramStart"/>
      <w:r>
        <w:rPr>
          <w:rFonts w:hint="eastAsia"/>
          <w:sz w:val="24"/>
        </w:rPr>
        <w:t>质检量函</w:t>
      </w:r>
      <w:proofErr w:type="gramEnd"/>
      <w:r>
        <w:rPr>
          <w:rFonts w:hint="eastAsia"/>
          <w:sz w:val="24"/>
        </w:rPr>
        <w:t>[2017]25</w:t>
      </w:r>
      <w:r>
        <w:rPr>
          <w:rFonts w:hint="eastAsia"/>
          <w:sz w:val="24"/>
        </w:rPr>
        <w:t>号文件中下达任务，由湖南省计量检测研究院</w:t>
      </w:r>
      <w:r>
        <w:rPr>
          <w:rFonts w:eastAsia="黑体" w:hint="eastAsia"/>
          <w:kern w:val="0"/>
          <w:sz w:val="28"/>
          <w:szCs w:val="28"/>
        </w:rPr>
        <w:t>、</w:t>
      </w:r>
      <w:r>
        <w:rPr>
          <w:rFonts w:hint="eastAsia"/>
          <w:sz w:val="24"/>
        </w:rPr>
        <w:t>中国计量科学研究院负责起草《煤中氟</w:t>
      </w:r>
      <w:r>
        <w:rPr>
          <w:rFonts w:hint="eastAsia"/>
          <w:sz w:val="24"/>
        </w:rPr>
        <w:t>/</w:t>
      </w:r>
      <w:r>
        <w:rPr>
          <w:rFonts w:hint="eastAsia"/>
          <w:sz w:val="24"/>
        </w:rPr>
        <w:t>氯测定仪校准规范》，参与单位有长沙开元仪器股份有限公司、长沙理工大学单位。</w:t>
      </w:r>
    </w:p>
    <w:p w:rsidR="00570778" w:rsidRDefault="00D01B3C">
      <w:pPr>
        <w:spacing w:line="360" w:lineRule="auto"/>
        <w:rPr>
          <w:b/>
          <w:bCs/>
          <w:sz w:val="28"/>
          <w:szCs w:val="28"/>
        </w:rPr>
      </w:pPr>
      <w:r>
        <w:rPr>
          <w:rFonts w:hint="eastAsia"/>
          <w:b/>
          <w:bCs/>
          <w:sz w:val="28"/>
          <w:szCs w:val="28"/>
        </w:rPr>
        <w:t>二、目的及意义</w:t>
      </w:r>
    </w:p>
    <w:p w:rsidR="00570778" w:rsidRDefault="00D01B3C">
      <w:pPr>
        <w:spacing w:line="360" w:lineRule="auto"/>
        <w:ind w:firstLine="561"/>
        <w:rPr>
          <w:sz w:val="24"/>
        </w:rPr>
      </w:pPr>
      <w:r>
        <w:rPr>
          <w:rFonts w:hint="eastAsia"/>
          <w:sz w:val="24"/>
        </w:rPr>
        <w:t>煤炭作为我国第一能源，使用量逐年增加。全国煤炭年用量将近</w:t>
      </w:r>
      <w:r>
        <w:rPr>
          <w:rFonts w:hint="eastAsia"/>
          <w:sz w:val="24"/>
        </w:rPr>
        <w:t>40</w:t>
      </w:r>
      <w:r>
        <w:rPr>
          <w:rFonts w:hint="eastAsia"/>
          <w:sz w:val="24"/>
        </w:rPr>
        <w:t>亿吨。</w:t>
      </w:r>
    </w:p>
    <w:p w:rsidR="00570778" w:rsidRDefault="00D01B3C">
      <w:pPr>
        <w:spacing w:line="360" w:lineRule="auto"/>
        <w:ind w:firstLine="561"/>
        <w:rPr>
          <w:sz w:val="24"/>
        </w:rPr>
      </w:pPr>
      <w:r>
        <w:rPr>
          <w:rFonts w:hint="eastAsia"/>
          <w:sz w:val="24"/>
        </w:rPr>
        <w:t>近年雾</w:t>
      </w:r>
      <w:proofErr w:type="gramStart"/>
      <w:r>
        <w:rPr>
          <w:rFonts w:hint="eastAsia"/>
          <w:sz w:val="24"/>
        </w:rPr>
        <w:t>霾</w:t>
      </w:r>
      <w:proofErr w:type="gramEnd"/>
      <w:r>
        <w:rPr>
          <w:rFonts w:hint="eastAsia"/>
          <w:sz w:val="24"/>
        </w:rPr>
        <w:t>天气的增加，使得煤炭的环保</w:t>
      </w:r>
      <w:r>
        <w:rPr>
          <w:rFonts w:hint="eastAsia"/>
          <w:sz w:val="24"/>
        </w:rPr>
        <w:t>利用再次提上日程。除煤中的硫、氮等常量有害元素外，煤中的许多潜在元素如汞、砷、镉、铬、硒、氯、氟、磷、铅等对环境和人体的危害也需要加以关注。</w:t>
      </w:r>
    </w:p>
    <w:p w:rsidR="00570778" w:rsidRDefault="00D01B3C">
      <w:pPr>
        <w:spacing w:line="360" w:lineRule="auto"/>
        <w:ind w:firstLine="561"/>
        <w:rPr>
          <w:sz w:val="24"/>
        </w:rPr>
      </w:pPr>
      <w:r>
        <w:rPr>
          <w:rFonts w:hint="eastAsia"/>
          <w:sz w:val="24"/>
        </w:rPr>
        <w:t>氟、氯在燃烧过程中以气态污染物形式排入大气，不仅严重腐蚀锅炉和烟气净化设备，而且造成严重的大气污染和生态环境的破坏，影响植物、动物和人体健康。医学界已经将“燃煤污染型氟中毒”定为氟中毒地方病类型。</w:t>
      </w:r>
    </w:p>
    <w:p w:rsidR="00570778" w:rsidRDefault="00D01B3C">
      <w:pPr>
        <w:spacing w:line="360" w:lineRule="auto"/>
        <w:ind w:firstLine="561"/>
        <w:rPr>
          <w:sz w:val="24"/>
        </w:rPr>
      </w:pPr>
      <w:r>
        <w:rPr>
          <w:rFonts w:hint="eastAsia"/>
          <w:sz w:val="24"/>
        </w:rPr>
        <w:t>随着企业、国家对环境治理，能源矿产环保使用日益重视，氟氯</w:t>
      </w:r>
      <w:proofErr w:type="gramStart"/>
      <w:r>
        <w:rPr>
          <w:rFonts w:hint="eastAsia"/>
          <w:sz w:val="24"/>
        </w:rPr>
        <w:t>测定仪测定仪</w:t>
      </w:r>
      <w:proofErr w:type="gramEnd"/>
      <w:r>
        <w:rPr>
          <w:rFonts w:hint="eastAsia"/>
          <w:sz w:val="24"/>
        </w:rPr>
        <w:t>广泛应用在电厂、商检等煤炭贸易结算、运输、使用等领域，氟氯测定仪与生态环境保护关系密切，发展趋向良好。</w:t>
      </w:r>
    </w:p>
    <w:p w:rsidR="00570778" w:rsidRDefault="00D01B3C">
      <w:pPr>
        <w:spacing w:line="360" w:lineRule="auto"/>
        <w:rPr>
          <w:b/>
          <w:bCs/>
          <w:sz w:val="28"/>
          <w:szCs w:val="28"/>
        </w:rPr>
      </w:pPr>
      <w:r>
        <w:rPr>
          <w:rFonts w:hint="eastAsia"/>
          <w:b/>
          <w:bCs/>
          <w:sz w:val="28"/>
          <w:szCs w:val="28"/>
        </w:rPr>
        <w:t>三、编制依据</w:t>
      </w:r>
    </w:p>
    <w:p w:rsidR="00570778" w:rsidRDefault="00D01B3C">
      <w:pPr>
        <w:autoSpaceDE w:val="0"/>
        <w:autoSpaceDN w:val="0"/>
        <w:adjustRightInd w:val="0"/>
        <w:spacing w:line="360" w:lineRule="auto"/>
        <w:ind w:firstLineChars="200" w:firstLine="480"/>
        <w:rPr>
          <w:sz w:val="24"/>
        </w:rPr>
      </w:pPr>
      <w:r>
        <w:rPr>
          <w:rFonts w:hint="eastAsia"/>
          <w:sz w:val="24"/>
        </w:rPr>
        <w:t>在本规范编制过程中，重点参照了以下国家标准及计量技术规范：</w:t>
      </w:r>
    </w:p>
    <w:p w:rsidR="00570778" w:rsidRDefault="00D01B3C">
      <w:pPr>
        <w:spacing w:line="360" w:lineRule="auto"/>
        <w:ind w:firstLineChars="200" w:firstLine="480"/>
        <w:rPr>
          <w:sz w:val="24"/>
        </w:rPr>
      </w:pPr>
      <w:r>
        <w:rPr>
          <w:sz w:val="24"/>
        </w:rPr>
        <w:t xml:space="preserve">GB/T </w:t>
      </w:r>
      <w:r>
        <w:rPr>
          <w:rFonts w:hint="eastAsia"/>
          <w:sz w:val="24"/>
        </w:rPr>
        <w:t>3558-2014</w:t>
      </w:r>
      <w:r>
        <w:rPr>
          <w:rFonts w:hint="eastAsia"/>
          <w:sz w:val="24"/>
        </w:rPr>
        <w:t>煤中氯的测定方法</w:t>
      </w:r>
    </w:p>
    <w:p w:rsidR="00570778" w:rsidRDefault="00D01B3C">
      <w:pPr>
        <w:spacing w:line="360" w:lineRule="auto"/>
        <w:ind w:firstLineChars="200" w:firstLine="480"/>
        <w:rPr>
          <w:sz w:val="24"/>
        </w:rPr>
      </w:pPr>
      <w:r>
        <w:rPr>
          <w:sz w:val="24"/>
        </w:rPr>
        <w:t xml:space="preserve">GB/T </w:t>
      </w:r>
      <w:r>
        <w:rPr>
          <w:rFonts w:hint="eastAsia"/>
          <w:sz w:val="24"/>
        </w:rPr>
        <w:t>4633-2014</w:t>
      </w:r>
      <w:r>
        <w:rPr>
          <w:rFonts w:hint="eastAsia"/>
          <w:sz w:val="24"/>
        </w:rPr>
        <w:t>煤中氟的测定方法</w:t>
      </w:r>
    </w:p>
    <w:p w:rsidR="00570778" w:rsidRDefault="00D01B3C">
      <w:pPr>
        <w:autoSpaceDE w:val="0"/>
        <w:autoSpaceDN w:val="0"/>
        <w:adjustRightInd w:val="0"/>
        <w:spacing w:line="360" w:lineRule="auto"/>
        <w:ind w:firstLineChars="200" w:firstLine="480"/>
        <w:rPr>
          <w:sz w:val="24"/>
        </w:rPr>
      </w:pPr>
      <w:r>
        <w:rPr>
          <w:rFonts w:hint="eastAsia"/>
          <w:sz w:val="24"/>
        </w:rPr>
        <w:t xml:space="preserve">JJF 1001-2011 </w:t>
      </w:r>
      <w:r>
        <w:rPr>
          <w:rFonts w:hint="eastAsia"/>
          <w:sz w:val="24"/>
        </w:rPr>
        <w:t>通用计量术语及定义</w:t>
      </w:r>
    </w:p>
    <w:p w:rsidR="00570778" w:rsidRDefault="00D01B3C">
      <w:pPr>
        <w:tabs>
          <w:tab w:val="left" w:pos="360"/>
        </w:tabs>
        <w:autoSpaceDE w:val="0"/>
        <w:autoSpaceDN w:val="0"/>
        <w:adjustRightInd w:val="0"/>
        <w:spacing w:line="360" w:lineRule="auto"/>
        <w:ind w:firstLineChars="200" w:firstLine="480"/>
        <w:rPr>
          <w:sz w:val="24"/>
        </w:rPr>
      </w:pPr>
      <w:r>
        <w:rPr>
          <w:rFonts w:hint="eastAsia"/>
          <w:sz w:val="24"/>
        </w:rPr>
        <w:t xml:space="preserve">JJF 1059.1-2012 </w:t>
      </w:r>
      <w:r>
        <w:rPr>
          <w:rFonts w:hint="eastAsia"/>
          <w:sz w:val="24"/>
        </w:rPr>
        <w:t>测量不确定度评定与表示</w:t>
      </w:r>
    </w:p>
    <w:p w:rsidR="00570778" w:rsidRDefault="00D01B3C">
      <w:pPr>
        <w:autoSpaceDE w:val="0"/>
        <w:autoSpaceDN w:val="0"/>
        <w:adjustRightInd w:val="0"/>
        <w:spacing w:line="360" w:lineRule="auto"/>
        <w:ind w:firstLineChars="200" w:firstLine="480"/>
        <w:rPr>
          <w:sz w:val="24"/>
        </w:rPr>
      </w:pPr>
      <w:r>
        <w:rPr>
          <w:rFonts w:hint="eastAsia"/>
          <w:sz w:val="24"/>
        </w:rPr>
        <w:t xml:space="preserve">JJF 1071-2010 </w:t>
      </w:r>
      <w:r>
        <w:rPr>
          <w:rFonts w:hint="eastAsia"/>
          <w:sz w:val="24"/>
        </w:rPr>
        <w:t>国家计量校准规范编写规则</w:t>
      </w:r>
    </w:p>
    <w:p w:rsidR="00570778" w:rsidRDefault="00570778">
      <w:pPr>
        <w:spacing w:line="360" w:lineRule="auto"/>
        <w:rPr>
          <w:sz w:val="24"/>
        </w:rPr>
      </w:pPr>
    </w:p>
    <w:p w:rsidR="00570778" w:rsidRDefault="00D01B3C">
      <w:pPr>
        <w:spacing w:line="360" w:lineRule="auto"/>
        <w:rPr>
          <w:b/>
          <w:bCs/>
          <w:sz w:val="28"/>
          <w:szCs w:val="28"/>
        </w:rPr>
      </w:pPr>
      <w:r>
        <w:rPr>
          <w:rFonts w:hint="eastAsia"/>
          <w:b/>
          <w:bCs/>
          <w:sz w:val="28"/>
          <w:szCs w:val="28"/>
        </w:rPr>
        <w:lastRenderedPageBreak/>
        <w:t>四、工作进度</w:t>
      </w:r>
    </w:p>
    <w:p w:rsidR="00570778" w:rsidRDefault="00D01B3C">
      <w:pPr>
        <w:spacing w:line="360" w:lineRule="auto"/>
        <w:ind w:firstLineChars="200" w:firstLine="480"/>
        <w:jc w:val="left"/>
        <w:rPr>
          <w:sz w:val="24"/>
        </w:rPr>
      </w:pPr>
      <w:r>
        <w:rPr>
          <w:rFonts w:hint="eastAsia"/>
          <w:sz w:val="24"/>
        </w:rPr>
        <w:t>1</w:t>
      </w:r>
      <w:r>
        <w:rPr>
          <w:rFonts w:hint="eastAsia"/>
          <w:sz w:val="24"/>
        </w:rPr>
        <w:t>、项目调研。</w:t>
      </w:r>
      <w:r>
        <w:rPr>
          <w:rFonts w:hint="eastAsia"/>
          <w:sz w:val="24"/>
        </w:rPr>
        <w:t>2017</w:t>
      </w:r>
      <w:r>
        <w:rPr>
          <w:rFonts w:hint="eastAsia"/>
          <w:sz w:val="24"/>
        </w:rPr>
        <w:t>年</w:t>
      </w:r>
      <w:r>
        <w:rPr>
          <w:rFonts w:hint="eastAsia"/>
          <w:sz w:val="24"/>
        </w:rPr>
        <w:t>5</w:t>
      </w:r>
      <w:r>
        <w:rPr>
          <w:rFonts w:hint="eastAsia"/>
          <w:sz w:val="24"/>
        </w:rPr>
        <w:t>月到</w:t>
      </w:r>
      <w:r>
        <w:rPr>
          <w:rFonts w:hint="eastAsia"/>
          <w:sz w:val="24"/>
        </w:rPr>
        <w:t>7</w:t>
      </w:r>
      <w:r>
        <w:rPr>
          <w:rFonts w:hint="eastAsia"/>
          <w:sz w:val="24"/>
        </w:rPr>
        <w:t>月。先后对开元仪器、三德科技、北京迪奈、鹤壁华通等煤中氟</w:t>
      </w:r>
      <w:r>
        <w:rPr>
          <w:rFonts w:hint="eastAsia"/>
          <w:sz w:val="24"/>
        </w:rPr>
        <w:t>/</w:t>
      </w:r>
      <w:r>
        <w:rPr>
          <w:rFonts w:hint="eastAsia"/>
          <w:sz w:val="24"/>
        </w:rPr>
        <w:t>氯</w:t>
      </w:r>
      <w:r>
        <w:rPr>
          <w:rFonts w:hint="eastAsia"/>
          <w:sz w:val="24"/>
        </w:rPr>
        <w:t>测定</w:t>
      </w:r>
      <w:proofErr w:type="gramStart"/>
      <w:r>
        <w:rPr>
          <w:rFonts w:hint="eastAsia"/>
          <w:sz w:val="24"/>
        </w:rPr>
        <w:t>仪</w:t>
      </w:r>
      <w:r>
        <w:rPr>
          <w:rFonts w:hint="eastAsia"/>
          <w:sz w:val="24"/>
        </w:rPr>
        <w:t>制造</w:t>
      </w:r>
      <w:proofErr w:type="gramEnd"/>
      <w:r>
        <w:rPr>
          <w:rFonts w:hint="eastAsia"/>
          <w:sz w:val="24"/>
        </w:rPr>
        <w:t>厂家，和巴陵石化、株洲地质煤田等用户单位进行调研，了解煤中氟</w:t>
      </w:r>
      <w:r>
        <w:rPr>
          <w:rFonts w:hint="eastAsia"/>
          <w:sz w:val="24"/>
        </w:rPr>
        <w:t>/</w:t>
      </w:r>
      <w:r>
        <w:rPr>
          <w:rFonts w:hint="eastAsia"/>
          <w:sz w:val="24"/>
        </w:rPr>
        <w:t>氯</w:t>
      </w:r>
      <w:r>
        <w:rPr>
          <w:rFonts w:hint="eastAsia"/>
          <w:sz w:val="24"/>
        </w:rPr>
        <w:t>测定仪</w:t>
      </w:r>
      <w:r>
        <w:rPr>
          <w:rFonts w:hint="eastAsia"/>
          <w:sz w:val="24"/>
        </w:rPr>
        <w:t>生产、研发、使用状况。</w:t>
      </w:r>
    </w:p>
    <w:p w:rsidR="00570778" w:rsidRDefault="00D01B3C">
      <w:pPr>
        <w:spacing w:line="360" w:lineRule="auto"/>
        <w:ind w:firstLineChars="200" w:firstLine="480"/>
        <w:jc w:val="left"/>
        <w:rPr>
          <w:sz w:val="24"/>
        </w:rPr>
      </w:pPr>
      <w:r>
        <w:rPr>
          <w:rFonts w:hint="eastAsia"/>
          <w:sz w:val="24"/>
        </w:rPr>
        <w:t>2</w:t>
      </w:r>
      <w:r>
        <w:rPr>
          <w:rFonts w:hint="eastAsia"/>
          <w:sz w:val="24"/>
        </w:rPr>
        <w:t>、参与单位召集会议。</w:t>
      </w:r>
      <w:r>
        <w:rPr>
          <w:rFonts w:hint="eastAsia"/>
          <w:sz w:val="24"/>
        </w:rPr>
        <w:t>2017</w:t>
      </w:r>
      <w:r>
        <w:rPr>
          <w:rFonts w:hint="eastAsia"/>
          <w:sz w:val="24"/>
        </w:rPr>
        <w:t>年</w:t>
      </w:r>
      <w:r>
        <w:rPr>
          <w:rFonts w:hint="eastAsia"/>
          <w:sz w:val="24"/>
        </w:rPr>
        <w:t>10</w:t>
      </w:r>
      <w:r>
        <w:rPr>
          <w:rFonts w:hint="eastAsia"/>
          <w:sz w:val="24"/>
        </w:rPr>
        <w:t>月在湖南省计量院召集了部分参与单位技术代表的座谈会。湖南省计量检测研究院、长沙开元仪器、长沙理工大学等单位的专家对规范起草进行讨论，初步形成《</w:t>
      </w:r>
      <w:r>
        <w:rPr>
          <w:rFonts w:hint="eastAsia"/>
          <w:sz w:val="24"/>
        </w:rPr>
        <w:t>煤中氟</w:t>
      </w:r>
      <w:r>
        <w:rPr>
          <w:rFonts w:hint="eastAsia"/>
          <w:sz w:val="24"/>
        </w:rPr>
        <w:t>/</w:t>
      </w:r>
      <w:r>
        <w:rPr>
          <w:rFonts w:hint="eastAsia"/>
          <w:sz w:val="24"/>
        </w:rPr>
        <w:t>氯测定仪</w:t>
      </w:r>
      <w:r>
        <w:rPr>
          <w:rFonts w:hint="eastAsia"/>
          <w:sz w:val="24"/>
        </w:rPr>
        <w:t>校准规范》的技术要求的共识。</w:t>
      </w:r>
    </w:p>
    <w:p w:rsidR="00570778" w:rsidRDefault="00D01B3C">
      <w:pPr>
        <w:spacing w:line="360" w:lineRule="auto"/>
        <w:ind w:firstLineChars="200" w:firstLine="480"/>
        <w:jc w:val="left"/>
        <w:rPr>
          <w:sz w:val="24"/>
        </w:rPr>
      </w:pPr>
      <w:r>
        <w:rPr>
          <w:rFonts w:hint="eastAsia"/>
          <w:sz w:val="24"/>
        </w:rPr>
        <w:t>3</w:t>
      </w:r>
      <w:r>
        <w:rPr>
          <w:rFonts w:hint="eastAsia"/>
          <w:sz w:val="24"/>
        </w:rPr>
        <w:t>、试验数据的积累。</w:t>
      </w:r>
      <w:r>
        <w:rPr>
          <w:rFonts w:hint="eastAsia"/>
          <w:sz w:val="24"/>
        </w:rPr>
        <w:t>2017</w:t>
      </w:r>
      <w:r>
        <w:rPr>
          <w:rFonts w:hint="eastAsia"/>
          <w:sz w:val="24"/>
        </w:rPr>
        <w:t>年</w:t>
      </w:r>
      <w:r>
        <w:rPr>
          <w:rFonts w:hint="eastAsia"/>
          <w:sz w:val="24"/>
        </w:rPr>
        <w:t>12</w:t>
      </w:r>
      <w:r>
        <w:rPr>
          <w:rFonts w:hint="eastAsia"/>
          <w:sz w:val="24"/>
        </w:rPr>
        <w:t>月</w:t>
      </w:r>
      <w:r>
        <w:rPr>
          <w:rFonts w:hint="eastAsia"/>
          <w:sz w:val="24"/>
        </w:rPr>
        <w:t>2018</w:t>
      </w:r>
      <w:r>
        <w:rPr>
          <w:rFonts w:hint="eastAsia"/>
          <w:sz w:val="24"/>
        </w:rPr>
        <w:t>年</w:t>
      </w:r>
      <w:r>
        <w:rPr>
          <w:rFonts w:hint="eastAsia"/>
          <w:sz w:val="24"/>
        </w:rPr>
        <w:t>3</w:t>
      </w:r>
      <w:r>
        <w:rPr>
          <w:rFonts w:hint="eastAsia"/>
          <w:sz w:val="24"/>
        </w:rPr>
        <w:t>月与长沙开元仪器、三德科技、北京迪奈、鹤壁华通等企业多型号的仪器进行试验数据的积累与统计。试验主要是针对仪器的重复性、示值误差等指标进行长期跟踪和数据分析统计。</w:t>
      </w:r>
    </w:p>
    <w:p w:rsidR="00570778" w:rsidRDefault="00D01B3C">
      <w:pPr>
        <w:spacing w:line="360" w:lineRule="auto"/>
        <w:ind w:firstLineChars="200" w:firstLine="480"/>
        <w:jc w:val="left"/>
        <w:rPr>
          <w:sz w:val="24"/>
        </w:rPr>
      </w:pPr>
      <w:r>
        <w:rPr>
          <w:rFonts w:hint="eastAsia"/>
          <w:sz w:val="24"/>
        </w:rPr>
        <w:t>4</w:t>
      </w:r>
      <w:r>
        <w:rPr>
          <w:rFonts w:hint="eastAsia"/>
          <w:sz w:val="24"/>
        </w:rPr>
        <w:t>、规范的初稿起草。</w:t>
      </w:r>
      <w:r>
        <w:rPr>
          <w:rFonts w:hint="eastAsia"/>
          <w:sz w:val="24"/>
        </w:rPr>
        <w:t>2018</w:t>
      </w:r>
      <w:r>
        <w:rPr>
          <w:rFonts w:hint="eastAsia"/>
          <w:sz w:val="24"/>
        </w:rPr>
        <w:t>年</w:t>
      </w:r>
      <w:r>
        <w:rPr>
          <w:rFonts w:hint="eastAsia"/>
          <w:sz w:val="24"/>
        </w:rPr>
        <w:t>3</w:t>
      </w:r>
      <w:r>
        <w:rPr>
          <w:rFonts w:hint="eastAsia"/>
          <w:sz w:val="24"/>
        </w:rPr>
        <w:t>月到</w:t>
      </w:r>
      <w:r>
        <w:rPr>
          <w:rFonts w:hint="eastAsia"/>
          <w:sz w:val="24"/>
        </w:rPr>
        <w:t>2018</w:t>
      </w:r>
      <w:r>
        <w:rPr>
          <w:rFonts w:hint="eastAsia"/>
          <w:sz w:val="24"/>
        </w:rPr>
        <w:t>年</w:t>
      </w:r>
      <w:r>
        <w:rPr>
          <w:rFonts w:hint="eastAsia"/>
          <w:sz w:val="24"/>
        </w:rPr>
        <w:t>8</w:t>
      </w:r>
      <w:r>
        <w:rPr>
          <w:rFonts w:hint="eastAsia"/>
          <w:sz w:val="24"/>
        </w:rPr>
        <w:t>月依据</w:t>
      </w:r>
      <w:r>
        <w:rPr>
          <w:rFonts w:hint="eastAsia"/>
          <w:sz w:val="24"/>
        </w:rPr>
        <w:t>现有试验数据，初步起草了《</w:t>
      </w:r>
      <w:r>
        <w:rPr>
          <w:rFonts w:hint="eastAsia"/>
          <w:sz w:val="24"/>
        </w:rPr>
        <w:t>煤中氟</w:t>
      </w:r>
      <w:r>
        <w:rPr>
          <w:rFonts w:hint="eastAsia"/>
          <w:sz w:val="24"/>
        </w:rPr>
        <w:t>/</w:t>
      </w:r>
      <w:r>
        <w:rPr>
          <w:rFonts w:hint="eastAsia"/>
          <w:sz w:val="24"/>
        </w:rPr>
        <w:t>氯测定仪</w:t>
      </w:r>
      <w:r>
        <w:rPr>
          <w:rFonts w:hint="eastAsia"/>
          <w:sz w:val="24"/>
        </w:rPr>
        <w:t>校准规范》草案，并发给长沙开元仪器、三德科技、长沙理工大学、鹤壁华通、北京迪奈、鹤壁</w:t>
      </w:r>
      <w:proofErr w:type="gramStart"/>
      <w:r>
        <w:rPr>
          <w:rFonts w:hint="eastAsia"/>
          <w:sz w:val="24"/>
        </w:rPr>
        <w:t>鑫</w:t>
      </w:r>
      <w:proofErr w:type="gramEnd"/>
      <w:r>
        <w:rPr>
          <w:rFonts w:hint="eastAsia"/>
          <w:sz w:val="24"/>
        </w:rPr>
        <w:t>华程、鹤壁联众、巴陵石化、中国测试技术研究院、</w:t>
      </w:r>
      <w:proofErr w:type="gramStart"/>
      <w:r>
        <w:rPr>
          <w:rFonts w:hint="eastAsia"/>
          <w:sz w:val="24"/>
        </w:rPr>
        <w:t>华夏力鸿等</w:t>
      </w:r>
      <w:proofErr w:type="gramEnd"/>
      <w:r>
        <w:rPr>
          <w:rFonts w:hint="eastAsia"/>
          <w:sz w:val="24"/>
        </w:rPr>
        <w:t>单位征求初步意见。</w:t>
      </w:r>
    </w:p>
    <w:p w:rsidR="00570778" w:rsidRDefault="00D01B3C">
      <w:pPr>
        <w:spacing w:line="360" w:lineRule="auto"/>
        <w:ind w:firstLineChars="200" w:firstLine="480"/>
        <w:jc w:val="left"/>
        <w:rPr>
          <w:sz w:val="24"/>
        </w:rPr>
      </w:pPr>
      <w:r>
        <w:rPr>
          <w:rFonts w:hint="eastAsia"/>
          <w:sz w:val="24"/>
        </w:rPr>
        <w:t>5</w:t>
      </w:r>
      <w:r>
        <w:rPr>
          <w:rFonts w:hint="eastAsia"/>
          <w:sz w:val="24"/>
        </w:rPr>
        <w:t>、仪器不确定度的评定。</w:t>
      </w:r>
      <w:r>
        <w:rPr>
          <w:rFonts w:hint="eastAsia"/>
          <w:sz w:val="24"/>
        </w:rPr>
        <w:t>2018</w:t>
      </w:r>
      <w:r>
        <w:rPr>
          <w:rFonts w:hint="eastAsia"/>
          <w:sz w:val="24"/>
        </w:rPr>
        <w:t>年</w:t>
      </w:r>
      <w:r>
        <w:rPr>
          <w:rFonts w:hint="eastAsia"/>
          <w:sz w:val="24"/>
        </w:rPr>
        <w:t>8</w:t>
      </w:r>
      <w:r>
        <w:rPr>
          <w:rFonts w:hint="eastAsia"/>
          <w:sz w:val="24"/>
        </w:rPr>
        <w:t>月到</w:t>
      </w:r>
      <w:r>
        <w:rPr>
          <w:rFonts w:hint="eastAsia"/>
          <w:sz w:val="24"/>
        </w:rPr>
        <w:t>2018</w:t>
      </w:r>
      <w:r>
        <w:rPr>
          <w:rFonts w:hint="eastAsia"/>
          <w:sz w:val="24"/>
        </w:rPr>
        <w:t>年</w:t>
      </w:r>
      <w:r>
        <w:rPr>
          <w:rFonts w:hint="eastAsia"/>
          <w:sz w:val="24"/>
        </w:rPr>
        <w:t>9</w:t>
      </w:r>
      <w:r>
        <w:rPr>
          <w:rFonts w:hint="eastAsia"/>
          <w:sz w:val="24"/>
        </w:rPr>
        <w:t>月对测定氟和氯示值误差的不确定进行初步评定，形成初稿。</w:t>
      </w:r>
    </w:p>
    <w:p w:rsidR="00570778" w:rsidRDefault="00D01B3C">
      <w:pPr>
        <w:spacing w:line="360" w:lineRule="auto"/>
        <w:rPr>
          <w:b/>
          <w:bCs/>
          <w:sz w:val="28"/>
          <w:szCs w:val="28"/>
        </w:rPr>
      </w:pPr>
      <w:r>
        <w:rPr>
          <w:rFonts w:hint="eastAsia"/>
          <w:b/>
          <w:bCs/>
          <w:sz w:val="28"/>
          <w:szCs w:val="28"/>
        </w:rPr>
        <w:t>五、编制内容</w:t>
      </w:r>
    </w:p>
    <w:p w:rsidR="00570778" w:rsidRDefault="00D01B3C">
      <w:pPr>
        <w:spacing w:line="360" w:lineRule="auto"/>
        <w:rPr>
          <w:sz w:val="24"/>
        </w:rPr>
      </w:pPr>
      <w:r>
        <w:rPr>
          <w:rFonts w:hint="eastAsia"/>
          <w:sz w:val="24"/>
        </w:rPr>
        <w:t xml:space="preserve">1 </w:t>
      </w:r>
      <w:r>
        <w:rPr>
          <w:rFonts w:hint="eastAsia"/>
          <w:sz w:val="24"/>
        </w:rPr>
        <w:t>范围</w:t>
      </w:r>
    </w:p>
    <w:p w:rsidR="00570778" w:rsidRDefault="00D01B3C">
      <w:pPr>
        <w:spacing w:line="360" w:lineRule="auto"/>
        <w:ind w:firstLineChars="200" w:firstLine="480"/>
        <w:rPr>
          <w:sz w:val="24"/>
        </w:rPr>
      </w:pPr>
      <w:r>
        <w:rPr>
          <w:sz w:val="24"/>
        </w:rPr>
        <w:t>本规范适用于</w:t>
      </w:r>
      <w:r>
        <w:rPr>
          <w:rFonts w:hint="eastAsia"/>
          <w:sz w:val="24"/>
        </w:rPr>
        <w:t>高温燃烧水解——氟离子选择电极法和电位滴定法测量煤、煤焦炭中的氟、氯元素的氟氯测定仪的校准。</w:t>
      </w:r>
    </w:p>
    <w:p w:rsidR="00570778" w:rsidRDefault="00D01B3C">
      <w:pPr>
        <w:spacing w:line="360" w:lineRule="auto"/>
        <w:ind w:firstLineChars="200" w:firstLine="480"/>
        <w:rPr>
          <w:sz w:val="24"/>
        </w:rPr>
      </w:pPr>
      <w:r>
        <w:rPr>
          <w:sz w:val="24"/>
        </w:rPr>
        <w:t>测量范围为</w:t>
      </w:r>
      <w:r>
        <w:rPr>
          <w:rFonts w:hint="eastAsia"/>
          <w:sz w:val="24"/>
        </w:rPr>
        <w:t>：氟（</w:t>
      </w:r>
      <w:r>
        <w:rPr>
          <w:rFonts w:hint="eastAsia"/>
          <w:sz w:val="24"/>
        </w:rPr>
        <w:t>5</w:t>
      </w:r>
      <w:r>
        <w:rPr>
          <w:rFonts w:hint="eastAsia"/>
          <w:sz w:val="24"/>
        </w:rPr>
        <w:t>0~2000</w:t>
      </w:r>
      <w:r>
        <w:rPr>
          <w:rFonts w:hint="eastAsia"/>
          <w:sz w:val="24"/>
        </w:rPr>
        <w:t>）</w:t>
      </w:r>
      <w:r>
        <w:rPr>
          <w:sz w:val="24"/>
        </w:rPr>
        <w:sym w:font="Symbol" w:char="F06D"/>
      </w:r>
      <w:r>
        <w:rPr>
          <w:rFonts w:hint="eastAsia"/>
          <w:sz w:val="24"/>
        </w:rPr>
        <w:t>g/g</w:t>
      </w:r>
      <w:r>
        <w:rPr>
          <w:rFonts w:hint="eastAsia"/>
          <w:sz w:val="24"/>
        </w:rPr>
        <w:t>；氯（</w:t>
      </w:r>
      <w:r>
        <w:rPr>
          <w:rFonts w:hint="eastAsia"/>
          <w:sz w:val="24"/>
        </w:rPr>
        <w:t>0.010%~0.3</w:t>
      </w:r>
      <w:r>
        <w:rPr>
          <w:rFonts w:hint="eastAsia"/>
          <w:sz w:val="24"/>
        </w:rPr>
        <w:t>00</w:t>
      </w:r>
      <w:r>
        <w:rPr>
          <w:rFonts w:hint="eastAsia"/>
          <w:sz w:val="24"/>
        </w:rPr>
        <w:t>%</w:t>
      </w:r>
      <w:r>
        <w:rPr>
          <w:rFonts w:hint="eastAsia"/>
          <w:sz w:val="24"/>
        </w:rPr>
        <w:t>）</w:t>
      </w:r>
      <w:r>
        <w:rPr>
          <w:sz w:val="24"/>
        </w:rPr>
        <w:t xml:space="preserve"> </w:t>
      </w:r>
    </w:p>
    <w:p w:rsidR="00570778" w:rsidRDefault="00D01B3C">
      <w:pPr>
        <w:spacing w:line="360" w:lineRule="auto"/>
        <w:ind w:firstLineChars="200" w:firstLine="482"/>
        <w:rPr>
          <w:sz w:val="24"/>
        </w:rPr>
      </w:pPr>
      <w:r>
        <w:rPr>
          <w:rFonts w:hint="eastAsia"/>
          <w:b/>
          <w:bCs/>
          <w:sz w:val="24"/>
        </w:rPr>
        <w:t>说明与解释：《</w:t>
      </w:r>
      <w:r>
        <w:rPr>
          <w:sz w:val="24"/>
        </w:rPr>
        <w:t xml:space="preserve">GB/T </w:t>
      </w:r>
      <w:r>
        <w:rPr>
          <w:rFonts w:hint="eastAsia"/>
          <w:sz w:val="24"/>
        </w:rPr>
        <w:t>3558-2014</w:t>
      </w:r>
      <w:r>
        <w:rPr>
          <w:rFonts w:hint="eastAsia"/>
          <w:sz w:val="24"/>
        </w:rPr>
        <w:t>煤中氯的测定方法</w:t>
      </w:r>
      <w:r>
        <w:rPr>
          <w:rFonts w:hint="eastAsia"/>
          <w:b/>
          <w:bCs/>
          <w:sz w:val="24"/>
        </w:rPr>
        <w:t>》</w:t>
      </w:r>
      <w:r>
        <w:rPr>
          <w:rFonts w:hint="eastAsia"/>
          <w:sz w:val="24"/>
        </w:rPr>
        <w:t>，《</w:t>
      </w:r>
      <w:r>
        <w:rPr>
          <w:sz w:val="24"/>
        </w:rPr>
        <w:t xml:space="preserve">GB/T </w:t>
      </w:r>
      <w:r>
        <w:rPr>
          <w:rFonts w:hint="eastAsia"/>
          <w:sz w:val="24"/>
        </w:rPr>
        <w:t>4633-2014</w:t>
      </w:r>
      <w:r>
        <w:rPr>
          <w:rFonts w:hint="eastAsia"/>
          <w:sz w:val="24"/>
        </w:rPr>
        <w:t>煤中氟的测定方法》是</w:t>
      </w:r>
      <w:r>
        <w:rPr>
          <w:rFonts w:hint="eastAsia"/>
          <w:sz w:val="24"/>
        </w:rPr>
        <w:t>煤中氟</w:t>
      </w:r>
      <w:r>
        <w:rPr>
          <w:rFonts w:hint="eastAsia"/>
          <w:sz w:val="24"/>
        </w:rPr>
        <w:t>/</w:t>
      </w:r>
      <w:r>
        <w:rPr>
          <w:rFonts w:hint="eastAsia"/>
          <w:sz w:val="24"/>
        </w:rPr>
        <w:t>氯测定</w:t>
      </w:r>
      <w:proofErr w:type="gramStart"/>
      <w:r>
        <w:rPr>
          <w:rFonts w:hint="eastAsia"/>
          <w:sz w:val="24"/>
        </w:rPr>
        <w:t>仪</w:t>
      </w:r>
      <w:r>
        <w:rPr>
          <w:rFonts w:hint="eastAsia"/>
          <w:sz w:val="24"/>
        </w:rPr>
        <w:t>重要</w:t>
      </w:r>
      <w:proofErr w:type="gramEnd"/>
      <w:r>
        <w:rPr>
          <w:rFonts w:hint="eastAsia"/>
          <w:sz w:val="24"/>
        </w:rPr>
        <w:t>的方法标准，在上述两个标准中，对氟元素的测定是采用高温燃烧水解—氟离子选择性电极法测定</w:t>
      </w:r>
      <w:proofErr w:type="gramStart"/>
      <w:r>
        <w:rPr>
          <w:rFonts w:hint="eastAsia"/>
          <w:sz w:val="24"/>
        </w:rPr>
        <w:t>煤中总氟含量</w:t>
      </w:r>
      <w:proofErr w:type="gramEnd"/>
      <w:r>
        <w:rPr>
          <w:rFonts w:hint="eastAsia"/>
          <w:sz w:val="24"/>
        </w:rPr>
        <w:t>，同时</w:t>
      </w:r>
      <w:r>
        <w:rPr>
          <w:rFonts w:hint="eastAsia"/>
          <w:sz w:val="24"/>
        </w:rPr>
        <w:t xml:space="preserve">ISO 11724 Solid mineral fuels-determination of total fluorine in coal ,coke and fly </w:t>
      </w:r>
      <w:r>
        <w:rPr>
          <w:rFonts w:hint="eastAsia"/>
          <w:sz w:val="24"/>
        </w:rPr>
        <w:t>ash</w:t>
      </w:r>
      <w:r>
        <w:rPr>
          <w:rFonts w:hint="eastAsia"/>
          <w:sz w:val="24"/>
        </w:rPr>
        <w:t>中同样是采用高温燃烧水解法—氟离子选择电极法</w:t>
      </w:r>
      <w:proofErr w:type="gramStart"/>
      <w:r>
        <w:rPr>
          <w:rFonts w:hint="eastAsia"/>
          <w:sz w:val="24"/>
        </w:rPr>
        <w:t>测定总氟含量</w:t>
      </w:r>
      <w:proofErr w:type="gramEnd"/>
      <w:r>
        <w:rPr>
          <w:rFonts w:hint="eastAsia"/>
          <w:sz w:val="24"/>
        </w:rPr>
        <w:t>。对氯元素的测定是采用高温燃烧水解—电位滴定法测定</w:t>
      </w:r>
      <w:proofErr w:type="gramStart"/>
      <w:r>
        <w:rPr>
          <w:rFonts w:hint="eastAsia"/>
          <w:sz w:val="24"/>
        </w:rPr>
        <w:t>煤中总氯含量</w:t>
      </w:r>
      <w:proofErr w:type="gramEnd"/>
      <w:r>
        <w:rPr>
          <w:rFonts w:hint="eastAsia"/>
          <w:sz w:val="24"/>
        </w:rPr>
        <w:t>，与</w:t>
      </w:r>
      <w:r>
        <w:rPr>
          <w:rFonts w:hint="eastAsia"/>
          <w:sz w:val="24"/>
        </w:rPr>
        <w:t xml:space="preserve">ISO 587 </w:t>
      </w:r>
      <w:r>
        <w:rPr>
          <w:rFonts w:hint="eastAsia"/>
          <w:sz w:val="24"/>
        </w:rPr>
        <w:t>：</w:t>
      </w:r>
      <w:r>
        <w:rPr>
          <w:rFonts w:hint="eastAsia"/>
          <w:sz w:val="24"/>
        </w:rPr>
        <w:t>1997</w:t>
      </w:r>
      <w:r>
        <w:rPr>
          <w:rFonts w:hint="eastAsia"/>
          <w:sz w:val="24"/>
        </w:rPr>
        <w:t>《固体矿物质燃料</w:t>
      </w:r>
      <w:r>
        <w:rPr>
          <w:rFonts w:hint="eastAsia"/>
          <w:sz w:val="24"/>
        </w:rPr>
        <w:t xml:space="preserve"> </w:t>
      </w:r>
      <w:r>
        <w:rPr>
          <w:rFonts w:hint="eastAsia"/>
          <w:sz w:val="24"/>
        </w:rPr>
        <w:t>氯的测定》存在非等效一致性。</w:t>
      </w:r>
    </w:p>
    <w:p w:rsidR="00570778" w:rsidRDefault="00D01B3C">
      <w:pPr>
        <w:spacing w:line="360" w:lineRule="auto"/>
        <w:ind w:firstLineChars="200" w:firstLine="480"/>
        <w:rPr>
          <w:sz w:val="24"/>
        </w:rPr>
      </w:pPr>
      <w:r>
        <w:rPr>
          <w:rFonts w:hint="eastAsia"/>
          <w:sz w:val="24"/>
        </w:rPr>
        <w:lastRenderedPageBreak/>
        <w:t>测量范围是收集</w:t>
      </w:r>
      <w:r>
        <w:rPr>
          <w:rFonts w:hint="eastAsia"/>
          <w:sz w:val="24"/>
        </w:rPr>
        <w:t>7</w:t>
      </w:r>
      <w:r>
        <w:rPr>
          <w:rFonts w:hint="eastAsia"/>
          <w:sz w:val="24"/>
        </w:rPr>
        <w:t>家仪器企业</w:t>
      </w:r>
      <w:r>
        <w:rPr>
          <w:rFonts w:hint="eastAsia"/>
          <w:sz w:val="24"/>
        </w:rPr>
        <w:t>11</w:t>
      </w:r>
      <w:r>
        <w:rPr>
          <w:rFonts w:hint="eastAsia"/>
          <w:sz w:val="24"/>
        </w:rPr>
        <w:t>款产品说明书标识的测量范围，以及依据客观实践（部分厂家在确定测量范围中存在夸大数值或表达不严谨）确定的仪器测量范围，氯元素测量范围超出常规</w:t>
      </w:r>
      <w:proofErr w:type="gramStart"/>
      <w:r>
        <w:rPr>
          <w:rFonts w:hint="eastAsia"/>
          <w:sz w:val="24"/>
        </w:rPr>
        <w:t>标煤氯值范围</w:t>
      </w:r>
      <w:proofErr w:type="gramEnd"/>
      <w:r>
        <w:rPr>
          <w:rFonts w:hint="eastAsia"/>
          <w:sz w:val="24"/>
        </w:rPr>
        <w:t>，已通过</w:t>
      </w:r>
      <w:r>
        <w:rPr>
          <w:rFonts w:hint="eastAsia"/>
          <w:sz w:val="24"/>
        </w:rPr>
        <w:t>生产样重复性和再现性</w:t>
      </w:r>
      <w:r>
        <w:rPr>
          <w:rFonts w:hint="eastAsia"/>
          <w:sz w:val="24"/>
        </w:rPr>
        <w:t>进行验证。</w:t>
      </w:r>
      <w:r>
        <w:rPr>
          <w:rFonts w:hint="eastAsia"/>
          <w:sz w:val="24"/>
        </w:rPr>
        <w:t>低氟含量的煤商检一般在（</w:t>
      </w:r>
      <w:r>
        <w:rPr>
          <w:rFonts w:hint="eastAsia"/>
          <w:sz w:val="24"/>
        </w:rPr>
        <w:t>60~80</w:t>
      </w:r>
      <w:r>
        <w:rPr>
          <w:rFonts w:hint="eastAsia"/>
          <w:sz w:val="24"/>
        </w:rPr>
        <w:t>）</w:t>
      </w:r>
      <w:r>
        <w:rPr>
          <w:rFonts w:hint="eastAsia"/>
          <w:sz w:val="24"/>
        </w:rPr>
        <w:sym w:font="Symbol" w:char="F06D"/>
      </w:r>
      <w:r>
        <w:rPr>
          <w:rFonts w:hint="eastAsia"/>
          <w:sz w:val="24"/>
        </w:rPr>
        <w:t>g/g</w:t>
      </w:r>
      <w:r>
        <w:rPr>
          <w:rFonts w:hint="eastAsia"/>
          <w:sz w:val="24"/>
        </w:rPr>
        <w:t>，一般低于</w:t>
      </w:r>
      <w:r>
        <w:rPr>
          <w:rFonts w:hint="eastAsia"/>
          <w:sz w:val="24"/>
        </w:rPr>
        <w:t>50</w:t>
      </w:r>
      <w:r>
        <w:rPr>
          <w:rFonts w:hint="eastAsia"/>
          <w:sz w:val="24"/>
        </w:rPr>
        <w:sym w:font="Symbol" w:char="F06D"/>
      </w:r>
      <w:r>
        <w:rPr>
          <w:rFonts w:hint="eastAsia"/>
          <w:sz w:val="24"/>
        </w:rPr>
        <w:t>g/g</w:t>
      </w:r>
      <w:r>
        <w:rPr>
          <w:rFonts w:hint="eastAsia"/>
          <w:sz w:val="24"/>
        </w:rPr>
        <w:t>，检测数据重复性差，数据不</w:t>
      </w:r>
      <w:r>
        <w:rPr>
          <w:rFonts w:hint="eastAsia"/>
          <w:sz w:val="24"/>
        </w:rPr>
        <w:t>可靠，因此，低氟含量下限设置为</w:t>
      </w:r>
      <w:r>
        <w:rPr>
          <w:rFonts w:hint="eastAsia"/>
          <w:sz w:val="24"/>
        </w:rPr>
        <w:t>50</w:t>
      </w:r>
      <w:r>
        <w:rPr>
          <w:rFonts w:hint="eastAsia"/>
          <w:sz w:val="24"/>
        </w:rPr>
        <w:sym w:font="Symbol" w:char="F06D"/>
      </w:r>
      <w:r>
        <w:rPr>
          <w:rFonts w:hint="eastAsia"/>
          <w:sz w:val="24"/>
        </w:rPr>
        <w:t>g/g</w:t>
      </w:r>
      <w:r>
        <w:rPr>
          <w:rFonts w:hint="eastAsia"/>
          <w:sz w:val="24"/>
        </w:rPr>
        <w:t>；国外氟含量最高的一般在</w:t>
      </w:r>
      <w:r>
        <w:rPr>
          <w:rFonts w:hint="eastAsia"/>
          <w:sz w:val="24"/>
        </w:rPr>
        <w:t>1500</w:t>
      </w:r>
      <w:r>
        <w:rPr>
          <w:rFonts w:hint="eastAsia"/>
          <w:sz w:val="24"/>
        </w:rPr>
        <w:sym w:font="Symbol" w:char="F06D"/>
      </w:r>
      <w:r>
        <w:rPr>
          <w:rFonts w:hint="eastAsia"/>
          <w:sz w:val="24"/>
        </w:rPr>
        <w:t>g/g</w:t>
      </w:r>
      <w:r>
        <w:rPr>
          <w:rFonts w:hint="eastAsia"/>
          <w:sz w:val="24"/>
        </w:rPr>
        <w:t>以下，我国规定</w:t>
      </w:r>
      <w:r>
        <w:rPr>
          <w:rFonts w:hint="eastAsia"/>
          <w:sz w:val="24"/>
        </w:rPr>
        <w:t>200</w:t>
      </w:r>
      <w:r>
        <w:rPr>
          <w:rFonts w:hint="eastAsia"/>
          <w:sz w:val="24"/>
        </w:rPr>
        <w:sym w:font="Symbol" w:char="F06D"/>
      </w:r>
      <w:r>
        <w:rPr>
          <w:rFonts w:hint="eastAsia"/>
          <w:sz w:val="24"/>
        </w:rPr>
        <w:t>g/g</w:t>
      </w:r>
      <w:r>
        <w:rPr>
          <w:rFonts w:hint="eastAsia"/>
          <w:sz w:val="24"/>
        </w:rPr>
        <w:t>以上的进口煤炭不能流入我国。因此氟含量测试范围暂定为（</w:t>
      </w:r>
      <w:r>
        <w:rPr>
          <w:rFonts w:hint="eastAsia"/>
          <w:sz w:val="24"/>
        </w:rPr>
        <w:t>5</w:t>
      </w:r>
      <w:r>
        <w:rPr>
          <w:rFonts w:hint="eastAsia"/>
          <w:sz w:val="24"/>
        </w:rPr>
        <w:t>0~2000</w:t>
      </w:r>
      <w:r>
        <w:rPr>
          <w:rFonts w:hint="eastAsia"/>
          <w:sz w:val="24"/>
        </w:rPr>
        <w:t>）</w:t>
      </w:r>
      <w:r>
        <w:rPr>
          <w:sz w:val="24"/>
        </w:rPr>
        <w:sym w:font="Symbol" w:char="F06D"/>
      </w:r>
      <w:r>
        <w:rPr>
          <w:rFonts w:hint="eastAsia"/>
          <w:sz w:val="24"/>
        </w:rPr>
        <w:t>g/g</w:t>
      </w:r>
      <w:r>
        <w:rPr>
          <w:rFonts w:hint="eastAsia"/>
          <w:sz w:val="24"/>
        </w:rPr>
        <w:t>满足客</w:t>
      </w:r>
      <w:proofErr w:type="gramStart"/>
      <w:r>
        <w:rPr>
          <w:rFonts w:hint="eastAsia"/>
          <w:sz w:val="24"/>
        </w:rPr>
        <w:t>规</w:t>
      </w:r>
      <w:proofErr w:type="gramEnd"/>
      <w:r>
        <w:rPr>
          <w:rFonts w:hint="eastAsia"/>
          <w:sz w:val="24"/>
        </w:rPr>
        <w:t>实际需求，又符合标准的科学性与严谨性。同样，氯含量暂定为</w:t>
      </w:r>
      <w:r>
        <w:rPr>
          <w:rFonts w:hint="eastAsia"/>
          <w:sz w:val="24"/>
        </w:rPr>
        <w:t>0.010%~0.3</w:t>
      </w:r>
      <w:r>
        <w:rPr>
          <w:rFonts w:hint="eastAsia"/>
          <w:sz w:val="24"/>
        </w:rPr>
        <w:t>00</w:t>
      </w:r>
      <w:r>
        <w:rPr>
          <w:rFonts w:hint="eastAsia"/>
          <w:sz w:val="24"/>
        </w:rPr>
        <w:t>%</w:t>
      </w:r>
      <w:r>
        <w:rPr>
          <w:rFonts w:hint="eastAsia"/>
          <w:sz w:val="24"/>
        </w:rPr>
        <w:t>也符合现有客观实际。</w:t>
      </w:r>
    </w:p>
    <w:p w:rsidR="00570778" w:rsidRDefault="00D01B3C">
      <w:pPr>
        <w:spacing w:line="360" w:lineRule="auto"/>
        <w:jc w:val="center"/>
        <w:rPr>
          <w:szCs w:val="21"/>
        </w:rPr>
      </w:pPr>
      <w:r>
        <w:rPr>
          <w:rFonts w:hint="eastAsia"/>
          <w:szCs w:val="21"/>
        </w:rPr>
        <w:t>表</w:t>
      </w:r>
      <w:r>
        <w:rPr>
          <w:rFonts w:hint="eastAsia"/>
          <w:szCs w:val="21"/>
        </w:rPr>
        <w:t xml:space="preserve">1 </w:t>
      </w:r>
      <w:r>
        <w:rPr>
          <w:rFonts w:hint="eastAsia"/>
          <w:szCs w:val="21"/>
        </w:rPr>
        <w:t>代表企业及相关仪器测量范围汇总表</w:t>
      </w:r>
    </w:p>
    <w:tbl>
      <w:tblPr>
        <w:tblStyle w:val="a8"/>
        <w:tblW w:w="8017" w:type="dxa"/>
        <w:jc w:val="center"/>
        <w:tblLayout w:type="fixed"/>
        <w:tblLook w:val="04A0"/>
      </w:tblPr>
      <w:tblGrid>
        <w:gridCol w:w="1257"/>
        <w:gridCol w:w="1530"/>
        <w:gridCol w:w="2575"/>
        <w:gridCol w:w="2655"/>
      </w:tblGrid>
      <w:tr w:rsidR="00570778">
        <w:trPr>
          <w:trHeight w:val="473"/>
          <w:jc w:val="center"/>
        </w:trPr>
        <w:tc>
          <w:tcPr>
            <w:tcW w:w="1257" w:type="dxa"/>
          </w:tcPr>
          <w:p w:rsidR="00570778" w:rsidRDefault="00D01B3C">
            <w:pPr>
              <w:spacing w:line="360" w:lineRule="auto"/>
              <w:jc w:val="center"/>
              <w:rPr>
                <w:szCs w:val="21"/>
              </w:rPr>
            </w:pPr>
            <w:r>
              <w:rPr>
                <w:rFonts w:hint="eastAsia"/>
                <w:szCs w:val="21"/>
              </w:rPr>
              <w:t>企业</w:t>
            </w:r>
          </w:p>
        </w:tc>
        <w:tc>
          <w:tcPr>
            <w:tcW w:w="1530" w:type="dxa"/>
          </w:tcPr>
          <w:p w:rsidR="00570778" w:rsidRDefault="00D01B3C">
            <w:pPr>
              <w:spacing w:line="360" w:lineRule="auto"/>
              <w:jc w:val="center"/>
              <w:rPr>
                <w:szCs w:val="21"/>
              </w:rPr>
            </w:pPr>
            <w:r>
              <w:rPr>
                <w:rFonts w:hint="eastAsia"/>
                <w:szCs w:val="21"/>
              </w:rPr>
              <w:t>仪器型号</w:t>
            </w:r>
          </w:p>
        </w:tc>
        <w:tc>
          <w:tcPr>
            <w:tcW w:w="2575" w:type="dxa"/>
          </w:tcPr>
          <w:p w:rsidR="00570778" w:rsidRDefault="00D01B3C">
            <w:pPr>
              <w:spacing w:line="360" w:lineRule="auto"/>
              <w:jc w:val="center"/>
              <w:rPr>
                <w:szCs w:val="21"/>
              </w:rPr>
            </w:pPr>
            <w:proofErr w:type="gramStart"/>
            <w:r>
              <w:rPr>
                <w:rFonts w:hint="eastAsia"/>
                <w:szCs w:val="21"/>
              </w:rPr>
              <w:t>测氟范围</w:t>
            </w:r>
            <w:proofErr w:type="gramEnd"/>
          </w:p>
        </w:tc>
        <w:tc>
          <w:tcPr>
            <w:tcW w:w="2655" w:type="dxa"/>
          </w:tcPr>
          <w:p w:rsidR="00570778" w:rsidRDefault="00D01B3C">
            <w:pPr>
              <w:spacing w:line="360" w:lineRule="auto"/>
              <w:jc w:val="center"/>
              <w:rPr>
                <w:szCs w:val="21"/>
              </w:rPr>
            </w:pPr>
            <w:proofErr w:type="gramStart"/>
            <w:r>
              <w:rPr>
                <w:rFonts w:hint="eastAsia"/>
                <w:szCs w:val="21"/>
              </w:rPr>
              <w:t>测氯范围</w:t>
            </w:r>
            <w:proofErr w:type="gramEnd"/>
          </w:p>
        </w:tc>
      </w:tr>
      <w:tr w:rsidR="00570778">
        <w:trPr>
          <w:jc w:val="center"/>
        </w:trPr>
        <w:tc>
          <w:tcPr>
            <w:tcW w:w="1257" w:type="dxa"/>
            <w:vMerge w:val="restart"/>
          </w:tcPr>
          <w:p w:rsidR="00570778" w:rsidRDefault="00570778">
            <w:pPr>
              <w:spacing w:line="360" w:lineRule="auto"/>
              <w:jc w:val="center"/>
              <w:rPr>
                <w:szCs w:val="21"/>
              </w:rPr>
            </w:pPr>
          </w:p>
          <w:p w:rsidR="00570778" w:rsidRDefault="00D01B3C">
            <w:pPr>
              <w:spacing w:line="360" w:lineRule="auto"/>
              <w:jc w:val="center"/>
              <w:rPr>
                <w:szCs w:val="21"/>
              </w:rPr>
            </w:pPr>
            <w:r>
              <w:rPr>
                <w:rFonts w:hint="eastAsia"/>
                <w:szCs w:val="21"/>
              </w:rPr>
              <w:t>开元仪器</w:t>
            </w:r>
          </w:p>
        </w:tc>
        <w:tc>
          <w:tcPr>
            <w:tcW w:w="1530" w:type="dxa"/>
          </w:tcPr>
          <w:p w:rsidR="00570778" w:rsidRDefault="00D01B3C">
            <w:pPr>
              <w:spacing w:line="360" w:lineRule="auto"/>
              <w:jc w:val="center"/>
              <w:rPr>
                <w:szCs w:val="21"/>
              </w:rPr>
            </w:pPr>
            <w:r>
              <w:rPr>
                <w:rFonts w:hint="eastAsia"/>
                <w:szCs w:val="21"/>
              </w:rPr>
              <w:t>5E-FT2300</w:t>
            </w:r>
          </w:p>
        </w:tc>
        <w:tc>
          <w:tcPr>
            <w:tcW w:w="2575" w:type="dxa"/>
          </w:tcPr>
          <w:p w:rsidR="00570778" w:rsidRDefault="00D01B3C">
            <w:pPr>
              <w:spacing w:line="360" w:lineRule="auto"/>
              <w:jc w:val="center"/>
              <w:rPr>
                <w:szCs w:val="21"/>
              </w:rPr>
            </w:pPr>
            <w:r>
              <w:rPr>
                <w:rFonts w:hint="eastAsia"/>
                <w:szCs w:val="21"/>
              </w:rPr>
              <w:t>(10~2000)</w:t>
            </w:r>
            <w:r>
              <w:rPr>
                <w:szCs w:val="21"/>
              </w:rPr>
              <w:sym w:font="Symbol" w:char="F06D"/>
            </w:r>
            <w:r>
              <w:rPr>
                <w:rFonts w:hint="eastAsia"/>
                <w:szCs w:val="21"/>
              </w:rPr>
              <w:t>g/g</w:t>
            </w:r>
          </w:p>
        </w:tc>
        <w:tc>
          <w:tcPr>
            <w:tcW w:w="2655" w:type="dxa"/>
          </w:tcPr>
          <w:p w:rsidR="00570778" w:rsidRDefault="00D01B3C">
            <w:pPr>
              <w:spacing w:line="360" w:lineRule="auto"/>
              <w:jc w:val="center"/>
              <w:rPr>
                <w:szCs w:val="21"/>
              </w:rPr>
            </w:pPr>
            <w:r>
              <w:rPr>
                <w:rFonts w:hint="eastAsia"/>
                <w:szCs w:val="21"/>
              </w:rPr>
              <w:t>/</w:t>
            </w:r>
          </w:p>
        </w:tc>
      </w:tr>
      <w:tr w:rsidR="00570778">
        <w:trPr>
          <w:jc w:val="center"/>
        </w:trPr>
        <w:tc>
          <w:tcPr>
            <w:tcW w:w="1257" w:type="dxa"/>
            <w:vMerge/>
          </w:tcPr>
          <w:p w:rsidR="00570778" w:rsidRDefault="00570778">
            <w:pPr>
              <w:spacing w:line="360" w:lineRule="auto"/>
              <w:jc w:val="center"/>
              <w:rPr>
                <w:szCs w:val="21"/>
              </w:rPr>
            </w:pPr>
          </w:p>
        </w:tc>
        <w:tc>
          <w:tcPr>
            <w:tcW w:w="1530" w:type="dxa"/>
          </w:tcPr>
          <w:p w:rsidR="00570778" w:rsidRDefault="00D01B3C">
            <w:pPr>
              <w:spacing w:line="360" w:lineRule="auto"/>
              <w:jc w:val="center"/>
              <w:rPr>
                <w:szCs w:val="21"/>
              </w:rPr>
            </w:pPr>
            <w:r>
              <w:rPr>
                <w:rFonts w:hint="eastAsia"/>
                <w:szCs w:val="21"/>
              </w:rPr>
              <w:t>5E-CLT2300</w:t>
            </w:r>
          </w:p>
        </w:tc>
        <w:tc>
          <w:tcPr>
            <w:tcW w:w="2575" w:type="dxa"/>
          </w:tcPr>
          <w:p w:rsidR="00570778" w:rsidRDefault="00D01B3C">
            <w:pPr>
              <w:spacing w:line="360" w:lineRule="auto"/>
              <w:jc w:val="center"/>
              <w:rPr>
                <w:szCs w:val="21"/>
              </w:rPr>
            </w:pPr>
            <w:r>
              <w:rPr>
                <w:rFonts w:hint="eastAsia"/>
                <w:szCs w:val="21"/>
              </w:rPr>
              <w:t>/</w:t>
            </w:r>
          </w:p>
        </w:tc>
        <w:tc>
          <w:tcPr>
            <w:tcW w:w="2655" w:type="dxa"/>
          </w:tcPr>
          <w:p w:rsidR="00570778" w:rsidRDefault="00D01B3C">
            <w:pPr>
              <w:spacing w:line="360" w:lineRule="auto"/>
              <w:jc w:val="center"/>
              <w:rPr>
                <w:szCs w:val="21"/>
              </w:rPr>
            </w:pPr>
            <w:r>
              <w:rPr>
                <w:rFonts w:hint="eastAsia"/>
                <w:szCs w:val="21"/>
              </w:rPr>
              <w:t>（</w:t>
            </w:r>
            <w:r>
              <w:rPr>
                <w:rFonts w:hint="eastAsia"/>
                <w:szCs w:val="21"/>
              </w:rPr>
              <w:t>0.003%~0.4</w:t>
            </w:r>
            <w:r>
              <w:rPr>
                <w:rFonts w:hint="eastAsia"/>
                <w:szCs w:val="21"/>
              </w:rPr>
              <w:t>00</w:t>
            </w:r>
            <w:r>
              <w:rPr>
                <w:rFonts w:hint="eastAsia"/>
                <w:szCs w:val="21"/>
              </w:rPr>
              <w:t>%</w:t>
            </w:r>
            <w:r>
              <w:rPr>
                <w:rFonts w:hint="eastAsia"/>
                <w:szCs w:val="21"/>
              </w:rPr>
              <w:t>）</w:t>
            </w:r>
          </w:p>
        </w:tc>
      </w:tr>
      <w:tr w:rsidR="00570778">
        <w:trPr>
          <w:jc w:val="center"/>
        </w:trPr>
        <w:tc>
          <w:tcPr>
            <w:tcW w:w="1257" w:type="dxa"/>
            <w:vMerge/>
          </w:tcPr>
          <w:p w:rsidR="00570778" w:rsidRDefault="00570778">
            <w:pPr>
              <w:spacing w:line="360" w:lineRule="auto"/>
              <w:jc w:val="center"/>
              <w:rPr>
                <w:szCs w:val="21"/>
              </w:rPr>
            </w:pPr>
          </w:p>
        </w:tc>
        <w:tc>
          <w:tcPr>
            <w:tcW w:w="1530" w:type="dxa"/>
          </w:tcPr>
          <w:p w:rsidR="00570778" w:rsidRDefault="00D01B3C">
            <w:pPr>
              <w:spacing w:line="360" w:lineRule="auto"/>
              <w:jc w:val="center"/>
              <w:rPr>
                <w:szCs w:val="21"/>
              </w:rPr>
            </w:pPr>
            <w:r>
              <w:rPr>
                <w:rFonts w:hint="eastAsia"/>
                <w:szCs w:val="21"/>
              </w:rPr>
              <w:t>5E-FCL2000</w:t>
            </w:r>
          </w:p>
        </w:tc>
        <w:tc>
          <w:tcPr>
            <w:tcW w:w="2575" w:type="dxa"/>
          </w:tcPr>
          <w:p w:rsidR="00570778" w:rsidRDefault="00D01B3C">
            <w:pPr>
              <w:spacing w:line="360" w:lineRule="auto"/>
              <w:jc w:val="center"/>
              <w:rPr>
                <w:szCs w:val="21"/>
              </w:rPr>
            </w:pPr>
            <w:r>
              <w:rPr>
                <w:rFonts w:hint="eastAsia"/>
                <w:szCs w:val="21"/>
              </w:rPr>
              <w:t>(10~2000)</w:t>
            </w:r>
            <w:r>
              <w:rPr>
                <w:szCs w:val="21"/>
              </w:rPr>
              <w:sym w:font="Symbol" w:char="F06D"/>
            </w:r>
            <w:r>
              <w:rPr>
                <w:rFonts w:hint="eastAsia"/>
                <w:szCs w:val="21"/>
              </w:rPr>
              <w:t>g/g</w:t>
            </w:r>
          </w:p>
        </w:tc>
        <w:tc>
          <w:tcPr>
            <w:tcW w:w="2655" w:type="dxa"/>
          </w:tcPr>
          <w:p w:rsidR="00570778" w:rsidRDefault="00D01B3C">
            <w:pPr>
              <w:spacing w:line="360" w:lineRule="auto"/>
              <w:jc w:val="center"/>
              <w:rPr>
                <w:szCs w:val="21"/>
              </w:rPr>
            </w:pPr>
            <w:r>
              <w:rPr>
                <w:rFonts w:hint="eastAsia"/>
                <w:szCs w:val="21"/>
              </w:rPr>
              <w:t>（</w:t>
            </w:r>
            <w:r>
              <w:rPr>
                <w:rFonts w:hint="eastAsia"/>
                <w:szCs w:val="21"/>
              </w:rPr>
              <w:t>0.003%~0.4</w:t>
            </w:r>
            <w:r>
              <w:rPr>
                <w:rFonts w:hint="eastAsia"/>
                <w:szCs w:val="21"/>
              </w:rPr>
              <w:t>00</w:t>
            </w:r>
            <w:r>
              <w:rPr>
                <w:rFonts w:hint="eastAsia"/>
                <w:szCs w:val="21"/>
              </w:rPr>
              <w:t>%</w:t>
            </w:r>
            <w:r>
              <w:rPr>
                <w:rFonts w:hint="eastAsia"/>
                <w:szCs w:val="21"/>
              </w:rPr>
              <w:t>）</w:t>
            </w:r>
          </w:p>
        </w:tc>
      </w:tr>
      <w:tr w:rsidR="00570778">
        <w:trPr>
          <w:jc w:val="center"/>
        </w:trPr>
        <w:tc>
          <w:tcPr>
            <w:tcW w:w="1257" w:type="dxa"/>
            <w:vMerge/>
          </w:tcPr>
          <w:p w:rsidR="00570778" w:rsidRDefault="00570778">
            <w:pPr>
              <w:spacing w:line="360" w:lineRule="auto"/>
              <w:jc w:val="center"/>
              <w:rPr>
                <w:szCs w:val="21"/>
              </w:rPr>
            </w:pPr>
          </w:p>
        </w:tc>
        <w:tc>
          <w:tcPr>
            <w:tcW w:w="1530" w:type="dxa"/>
          </w:tcPr>
          <w:p w:rsidR="00570778" w:rsidRDefault="00D01B3C">
            <w:pPr>
              <w:spacing w:line="360" w:lineRule="auto"/>
              <w:jc w:val="center"/>
              <w:rPr>
                <w:szCs w:val="21"/>
              </w:rPr>
            </w:pPr>
            <w:r>
              <w:rPr>
                <w:rFonts w:hint="eastAsia"/>
                <w:szCs w:val="21"/>
              </w:rPr>
              <w:t>5E-FCL2100</w:t>
            </w:r>
          </w:p>
        </w:tc>
        <w:tc>
          <w:tcPr>
            <w:tcW w:w="2575" w:type="dxa"/>
          </w:tcPr>
          <w:p w:rsidR="00570778" w:rsidRDefault="00D01B3C">
            <w:pPr>
              <w:spacing w:line="360" w:lineRule="auto"/>
              <w:jc w:val="center"/>
              <w:rPr>
                <w:szCs w:val="21"/>
              </w:rPr>
            </w:pPr>
            <w:r>
              <w:rPr>
                <w:rFonts w:hint="eastAsia"/>
                <w:szCs w:val="21"/>
              </w:rPr>
              <w:t>(10~2000)</w:t>
            </w:r>
            <w:r>
              <w:rPr>
                <w:szCs w:val="21"/>
              </w:rPr>
              <w:sym w:font="Symbol" w:char="F06D"/>
            </w:r>
            <w:r>
              <w:rPr>
                <w:rFonts w:hint="eastAsia"/>
                <w:szCs w:val="21"/>
              </w:rPr>
              <w:t>g/g</w:t>
            </w:r>
          </w:p>
        </w:tc>
        <w:tc>
          <w:tcPr>
            <w:tcW w:w="2655" w:type="dxa"/>
          </w:tcPr>
          <w:p w:rsidR="00570778" w:rsidRDefault="00D01B3C">
            <w:pPr>
              <w:spacing w:line="360" w:lineRule="auto"/>
              <w:jc w:val="center"/>
              <w:rPr>
                <w:szCs w:val="21"/>
              </w:rPr>
            </w:pPr>
            <w:r>
              <w:rPr>
                <w:rFonts w:hint="eastAsia"/>
                <w:szCs w:val="21"/>
              </w:rPr>
              <w:t>（</w:t>
            </w:r>
            <w:r>
              <w:rPr>
                <w:rFonts w:hint="eastAsia"/>
                <w:szCs w:val="21"/>
              </w:rPr>
              <w:t>0.003%~0.4</w:t>
            </w:r>
            <w:r>
              <w:rPr>
                <w:rFonts w:hint="eastAsia"/>
                <w:szCs w:val="21"/>
              </w:rPr>
              <w:t>00</w:t>
            </w:r>
            <w:r>
              <w:rPr>
                <w:rFonts w:hint="eastAsia"/>
                <w:szCs w:val="21"/>
              </w:rPr>
              <w:t>%</w:t>
            </w:r>
            <w:r>
              <w:rPr>
                <w:rFonts w:hint="eastAsia"/>
                <w:szCs w:val="21"/>
              </w:rPr>
              <w:t>）</w:t>
            </w:r>
          </w:p>
        </w:tc>
      </w:tr>
      <w:tr w:rsidR="00570778">
        <w:trPr>
          <w:jc w:val="center"/>
        </w:trPr>
        <w:tc>
          <w:tcPr>
            <w:tcW w:w="1257" w:type="dxa"/>
            <w:vMerge w:val="restart"/>
          </w:tcPr>
          <w:p w:rsidR="00570778" w:rsidRDefault="00D01B3C">
            <w:pPr>
              <w:spacing w:line="360" w:lineRule="auto"/>
              <w:jc w:val="center"/>
              <w:rPr>
                <w:szCs w:val="21"/>
              </w:rPr>
            </w:pPr>
            <w:r>
              <w:rPr>
                <w:rFonts w:hint="eastAsia"/>
                <w:szCs w:val="21"/>
              </w:rPr>
              <w:t>三</w:t>
            </w:r>
            <w:proofErr w:type="gramStart"/>
            <w:r>
              <w:rPr>
                <w:rFonts w:hint="eastAsia"/>
                <w:szCs w:val="21"/>
              </w:rPr>
              <w:t>德科技</w:t>
            </w:r>
            <w:proofErr w:type="gramEnd"/>
          </w:p>
        </w:tc>
        <w:tc>
          <w:tcPr>
            <w:tcW w:w="1530" w:type="dxa"/>
          </w:tcPr>
          <w:p w:rsidR="00570778" w:rsidRDefault="00D01B3C">
            <w:pPr>
              <w:spacing w:line="360" w:lineRule="auto"/>
              <w:jc w:val="center"/>
              <w:rPr>
                <w:szCs w:val="21"/>
              </w:rPr>
            </w:pPr>
            <w:r>
              <w:rPr>
                <w:rFonts w:hint="eastAsia"/>
                <w:szCs w:val="21"/>
              </w:rPr>
              <w:t>SDFCL1000</w:t>
            </w:r>
          </w:p>
        </w:tc>
        <w:tc>
          <w:tcPr>
            <w:tcW w:w="2575" w:type="dxa"/>
          </w:tcPr>
          <w:p w:rsidR="00570778" w:rsidRDefault="00D01B3C">
            <w:pPr>
              <w:spacing w:line="360" w:lineRule="auto"/>
              <w:jc w:val="center"/>
              <w:rPr>
                <w:szCs w:val="21"/>
              </w:rPr>
            </w:pPr>
            <w:r>
              <w:rPr>
                <w:rFonts w:hAnsi="宋体" w:hint="eastAsia"/>
                <w:szCs w:val="21"/>
              </w:rPr>
              <w:t>检测限：</w:t>
            </w:r>
            <w:r>
              <w:rPr>
                <w:rFonts w:hAnsi="宋体" w:hint="eastAsia"/>
                <w:szCs w:val="21"/>
              </w:rPr>
              <w:t>10ppm</w:t>
            </w:r>
          </w:p>
        </w:tc>
        <w:tc>
          <w:tcPr>
            <w:tcW w:w="2655" w:type="dxa"/>
          </w:tcPr>
          <w:p w:rsidR="00570778" w:rsidRDefault="00D01B3C">
            <w:pPr>
              <w:spacing w:line="360" w:lineRule="auto"/>
              <w:jc w:val="center"/>
              <w:rPr>
                <w:szCs w:val="21"/>
              </w:rPr>
            </w:pPr>
            <w:r>
              <w:rPr>
                <w:rFonts w:hAnsi="宋体" w:hint="eastAsia"/>
                <w:szCs w:val="21"/>
              </w:rPr>
              <w:t>检测限：</w:t>
            </w:r>
            <w:r>
              <w:rPr>
                <w:rFonts w:hAnsi="宋体" w:hint="eastAsia"/>
                <w:szCs w:val="21"/>
              </w:rPr>
              <w:t>30ppm</w:t>
            </w:r>
          </w:p>
        </w:tc>
      </w:tr>
      <w:tr w:rsidR="00570778">
        <w:trPr>
          <w:jc w:val="center"/>
        </w:trPr>
        <w:tc>
          <w:tcPr>
            <w:tcW w:w="1257" w:type="dxa"/>
            <w:vMerge/>
          </w:tcPr>
          <w:p w:rsidR="00570778" w:rsidRDefault="00570778">
            <w:pPr>
              <w:spacing w:line="360" w:lineRule="auto"/>
              <w:jc w:val="center"/>
              <w:rPr>
                <w:szCs w:val="21"/>
              </w:rPr>
            </w:pPr>
          </w:p>
        </w:tc>
        <w:tc>
          <w:tcPr>
            <w:tcW w:w="1530" w:type="dxa"/>
          </w:tcPr>
          <w:p w:rsidR="00570778" w:rsidRDefault="00D01B3C">
            <w:pPr>
              <w:spacing w:line="360" w:lineRule="auto"/>
              <w:jc w:val="center"/>
              <w:rPr>
                <w:szCs w:val="21"/>
              </w:rPr>
            </w:pPr>
            <w:r>
              <w:rPr>
                <w:rFonts w:hint="eastAsia"/>
                <w:szCs w:val="21"/>
              </w:rPr>
              <w:t>SDFCL3000</w:t>
            </w:r>
          </w:p>
        </w:tc>
        <w:tc>
          <w:tcPr>
            <w:tcW w:w="2575" w:type="dxa"/>
          </w:tcPr>
          <w:p w:rsidR="00570778" w:rsidRDefault="00D01B3C">
            <w:pPr>
              <w:spacing w:line="360" w:lineRule="auto"/>
              <w:jc w:val="center"/>
              <w:rPr>
                <w:szCs w:val="21"/>
              </w:rPr>
            </w:pPr>
            <w:r>
              <w:rPr>
                <w:rFonts w:hAnsi="宋体" w:hint="eastAsia"/>
                <w:szCs w:val="21"/>
              </w:rPr>
              <w:t>10ppm~2000ppm</w:t>
            </w:r>
          </w:p>
        </w:tc>
        <w:tc>
          <w:tcPr>
            <w:tcW w:w="2655" w:type="dxa"/>
          </w:tcPr>
          <w:p w:rsidR="00570778" w:rsidRDefault="00D01B3C">
            <w:pPr>
              <w:spacing w:line="360" w:lineRule="auto"/>
              <w:jc w:val="center"/>
              <w:rPr>
                <w:szCs w:val="21"/>
              </w:rPr>
            </w:pPr>
            <w:r>
              <w:rPr>
                <w:rFonts w:hAnsi="宋体" w:hint="eastAsia"/>
                <w:szCs w:val="21"/>
              </w:rPr>
              <w:t>30ppm~3000ppm</w:t>
            </w:r>
          </w:p>
        </w:tc>
      </w:tr>
      <w:tr w:rsidR="00570778">
        <w:trPr>
          <w:jc w:val="center"/>
        </w:trPr>
        <w:tc>
          <w:tcPr>
            <w:tcW w:w="1257" w:type="dxa"/>
          </w:tcPr>
          <w:p w:rsidR="00570778" w:rsidRDefault="00D01B3C">
            <w:pPr>
              <w:spacing w:line="360" w:lineRule="auto"/>
              <w:jc w:val="center"/>
              <w:rPr>
                <w:szCs w:val="21"/>
              </w:rPr>
            </w:pPr>
            <w:r>
              <w:rPr>
                <w:rFonts w:hint="eastAsia"/>
                <w:szCs w:val="21"/>
              </w:rPr>
              <w:t>北京迪奈</w:t>
            </w:r>
          </w:p>
        </w:tc>
        <w:tc>
          <w:tcPr>
            <w:tcW w:w="1530" w:type="dxa"/>
          </w:tcPr>
          <w:p w:rsidR="00570778" w:rsidRDefault="00D01B3C">
            <w:pPr>
              <w:spacing w:line="360" w:lineRule="auto"/>
              <w:jc w:val="center"/>
              <w:rPr>
                <w:szCs w:val="21"/>
              </w:rPr>
            </w:pPr>
            <w:r>
              <w:rPr>
                <w:rFonts w:hint="eastAsia"/>
                <w:szCs w:val="21"/>
              </w:rPr>
              <w:t>DNFL100</w:t>
            </w:r>
          </w:p>
        </w:tc>
        <w:tc>
          <w:tcPr>
            <w:tcW w:w="2575" w:type="dxa"/>
          </w:tcPr>
          <w:p w:rsidR="00570778" w:rsidRDefault="00D01B3C">
            <w:pPr>
              <w:spacing w:line="360" w:lineRule="auto"/>
              <w:jc w:val="center"/>
              <w:rPr>
                <w:szCs w:val="21"/>
              </w:rPr>
            </w:pPr>
            <w:r>
              <w:rPr>
                <w:rFonts w:hint="eastAsia"/>
                <w:szCs w:val="21"/>
              </w:rPr>
              <w:t>(10~2000)</w:t>
            </w:r>
            <w:r>
              <w:rPr>
                <w:rFonts w:hint="eastAsia"/>
                <w:szCs w:val="21"/>
              </w:rPr>
              <w:sym w:font="Symbol" w:char="F06D"/>
            </w:r>
            <w:r>
              <w:rPr>
                <w:rFonts w:hint="eastAsia"/>
                <w:szCs w:val="21"/>
              </w:rPr>
              <w:t>g/g</w:t>
            </w:r>
          </w:p>
        </w:tc>
        <w:tc>
          <w:tcPr>
            <w:tcW w:w="2655" w:type="dxa"/>
          </w:tcPr>
          <w:p w:rsidR="00570778" w:rsidRDefault="00D01B3C">
            <w:pPr>
              <w:spacing w:line="360" w:lineRule="auto"/>
              <w:jc w:val="center"/>
              <w:rPr>
                <w:szCs w:val="21"/>
              </w:rPr>
            </w:pPr>
            <w:r>
              <w:rPr>
                <w:rFonts w:hint="eastAsia"/>
                <w:szCs w:val="21"/>
              </w:rPr>
              <w:t>0.010%~0.3</w:t>
            </w:r>
            <w:r>
              <w:rPr>
                <w:rFonts w:hint="eastAsia"/>
                <w:szCs w:val="21"/>
              </w:rPr>
              <w:t>00</w:t>
            </w:r>
            <w:r>
              <w:rPr>
                <w:rFonts w:hint="eastAsia"/>
                <w:szCs w:val="21"/>
              </w:rPr>
              <w:t>%</w:t>
            </w:r>
          </w:p>
        </w:tc>
      </w:tr>
      <w:tr w:rsidR="00570778">
        <w:trPr>
          <w:jc w:val="center"/>
        </w:trPr>
        <w:tc>
          <w:tcPr>
            <w:tcW w:w="1257" w:type="dxa"/>
          </w:tcPr>
          <w:p w:rsidR="00570778" w:rsidRDefault="00D01B3C">
            <w:pPr>
              <w:spacing w:line="360" w:lineRule="auto"/>
              <w:jc w:val="center"/>
              <w:rPr>
                <w:szCs w:val="21"/>
              </w:rPr>
            </w:pPr>
            <w:r>
              <w:rPr>
                <w:rFonts w:hint="eastAsia"/>
                <w:szCs w:val="21"/>
              </w:rPr>
              <w:t>鹤壁华通</w:t>
            </w:r>
          </w:p>
        </w:tc>
        <w:tc>
          <w:tcPr>
            <w:tcW w:w="1530" w:type="dxa"/>
          </w:tcPr>
          <w:p w:rsidR="00570778" w:rsidRDefault="00D01B3C">
            <w:pPr>
              <w:spacing w:line="360" w:lineRule="auto"/>
              <w:jc w:val="center"/>
              <w:rPr>
                <w:szCs w:val="21"/>
              </w:rPr>
            </w:pPr>
            <w:r>
              <w:rPr>
                <w:rFonts w:hint="eastAsia"/>
                <w:szCs w:val="21"/>
              </w:rPr>
              <w:t>ZDCF8000</w:t>
            </w:r>
          </w:p>
        </w:tc>
        <w:tc>
          <w:tcPr>
            <w:tcW w:w="2575" w:type="dxa"/>
          </w:tcPr>
          <w:p w:rsidR="00570778" w:rsidRDefault="00D01B3C">
            <w:pPr>
              <w:spacing w:line="360" w:lineRule="auto"/>
              <w:jc w:val="center"/>
              <w:rPr>
                <w:szCs w:val="21"/>
              </w:rPr>
            </w:pPr>
            <w:r>
              <w:rPr>
                <w:rFonts w:hint="eastAsia"/>
                <w:szCs w:val="21"/>
              </w:rPr>
              <w:t>(0~2000)</w:t>
            </w:r>
            <w:r>
              <w:rPr>
                <w:rFonts w:hint="eastAsia"/>
                <w:szCs w:val="21"/>
              </w:rPr>
              <w:sym w:font="Symbol" w:char="F06D"/>
            </w:r>
            <w:r>
              <w:rPr>
                <w:rFonts w:hint="eastAsia"/>
                <w:szCs w:val="21"/>
              </w:rPr>
              <w:t>g/g</w:t>
            </w:r>
          </w:p>
        </w:tc>
        <w:tc>
          <w:tcPr>
            <w:tcW w:w="2655" w:type="dxa"/>
          </w:tcPr>
          <w:p w:rsidR="00570778" w:rsidRDefault="00D01B3C">
            <w:pPr>
              <w:spacing w:line="360" w:lineRule="auto"/>
              <w:jc w:val="center"/>
              <w:rPr>
                <w:szCs w:val="21"/>
              </w:rPr>
            </w:pPr>
            <w:r>
              <w:rPr>
                <w:rFonts w:hint="eastAsia"/>
                <w:szCs w:val="21"/>
              </w:rPr>
              <w:t>0~1%</w:t>
            </w:r>
          </w:p>
        </w:tc>
      </w:tr>
      <w:tr w:rsidR="00570778">
        <w:trPr>
          <w:jc w:val="center"/>
        </w:trPr>
        <w:tc>
          <w:tcPr>
            <w:tcW w:w="1257" w:type="dxa"/>
          </w:tcPr>
          <w:p w:rsidR="00570778" w:rsidRDefault="00D01B3C">
            <w:pPr>
              <w:jc w:val="center"/>
              <w:rPr>
                <w:szCs w:val="21"/>
              </w:rPr>
            </w:pPr>
            <w:proofErr w:type="gramStart"/>
            <w:r>
              <w:rPr>
                <w:rFonts w:hint="eastAsia"/>
                <w:szCs w:val="21"/>
              </w:rPr>
              <w:t>鹤壁蓝博</w:t>
            </w:r>
            <w:proofErr w:type="gramEnd"/>
          </w:p>
        </w:tc>
        <w:tc>
          <w:tcPr>
            <w:tcW w:w="1530" w:type="dxa"/>
          </w:tcPr>
          <w:p w:rsidR="00570778" w:rsidRDefault="00D01B3C">
            <w:pPr>
              <w:spacing w:line="360" w:lineRule="auto"/>
              <w:jc w:val="center"/>
              <w:rPr>
                <w:szCs w:val="21"/>
              </w:rPr>
            </w:pPr>
            <w:r>
              <w:rPr>
                <w:rFonts w:hint="eastAsia"/>
                <w:szCs w:val="21"/>
              </w:rPr>
              <w:t>LBFCL8000</w:t>
            </w:r>
          </w:p>
        </w:tc>
        <w:tc>
          <w:tcPr>
            <w:tcW w:w="2575" w:type="dxa"/>
          </w:tcPr>
          <w:p w:rsidR="00570778" w:rsidRDefault="00D01B3C">
            <w:pPr>
              <w:spacing w:line="360" w:lineRule="auto"/>
              <w:jc w:val="center"/>
              <w:rPr>
                <w:szCs w:val="21"/>
              </w:rPr>
            </w:pPr>
            <w:r>
              <w:rPr>
                <w:rFonts w:hint="eastAsia"/>
                <w:szCs w:val="21"/>
              </w:rPr>
              <w:t>符合</w:t>
            </w:r>
            <w:r>
              <w:rPr>
                <w:szCs w:val="21"/>
              </w:rPr>
              <w:t xml:space="preserve">GB/T </w:t>
            </w:r>
            <w:r>
              <w:rPr>
                <w:rFonts w:hint="eastAsia"/>
                <w:szCs w:val="21"/>
              </w:rPr>
              <w:t>4633-2014</w:t>
            </w:r>
          </w:p>
        </w:tc>
        <w:tc>
          <w:tcPr>
            <w:tcW w:w="2655" w:type="dxa"/>
          </w:tcPr>
          <w:p w:rsidR="00570778" w:rsidRDefault="00D01B3C">
            <w:pPr>
              <w:spacing w:line="360" w:lineRule="auto"/>
              <w:jc w:val="center"/>
              <w:rPr>
                <w:szCs w:val="21"/>
              </w:rPr>
            </w:pPr>
            <w:r>
              <w:rPr>
                <w:rFonts w:hint="eastAsia"/>
                <w:szCs w:val="21"/>
              </w:rPr>
              <w:t>符合</w:t>
            </w:r>
            <w:r>
              <w:rPr>
                <w:szCs w:val="21"/>
              </w:rPr>
              <w:t xml:space="preserve">GB/T </w:t>
            </w:r>
            <w:r>
              <w:rPr>
                <w:rFonts w:hint="eastAsia"/>
                <w:szCs w:val="21"/>
              </w:rPr>
              <w:t>3558</w:t>
            </w:r>
          </w:p>
        </w:tc>
      </w:tr>
      <w:tr w:rsidR="00570778">
        <w:trPr>
          <w:trHeight w:val="616"/>
          <w:jc w:val="center"/>
        </w:trPr>
        <w:tc>
          <w:tcPr>
            <w:tcW w:w="1257" w:type="dxa"/>
          </w:tcPr>
          <w:p w:rsidR="00570778" w:rsidRDefault="00D01B3C">
            <w:pPr>
              <w:spacing w:line="360" w:lineRule="auto"/>
              <w:jc w:val="center"/>
              <w:rPr>
                <w:szCs w:val="21"/>
              </w:rPr>
            </w:pPr>
            <w:proofErr w:type="gramStart"/>
            <w:r>
              <w:rPr>
                <w:rFonts w:hint="eastAsia"/>
                <w:szCs w:val="21"/>
              </w:rPr>
              <w:t>鑫</w:t>
            </w:r>
            <w:proofErr w:type="gramEnd"/>
            <w:r>
              <w:rPr>
                <w:rFonts w:hint="eastAsia"/>
                <w:szCs w:val="21"/>
              </w:rPr>
              <w:t>华程</w:t>
            </w:r>
          </w:p>
        </w:tc>
        <w:tc>
          <w:tcPr>
            <w:tcW w:w="1530" w:type="dxa"/>
          </w:tcPr>
          <w:p w:rsidR="00570778" w:rsidRDefault="00D01B3C">
            <w:pPr>
              <w:spacing w:line="360" w:lineRule="auto"/>
              <w:jc w:val="center"/>
              <w:rPr>
                <w:szCs w:val="21"/>
              </w:rPr>
            </w:pPr>
            <w:r>
              <w:rPr>
                <w:rFonts w:hint="eastAsia"/>
                <w:szCs w:val="21"/>
              </w:rPr>
              <w:t>HCFL-9000</w:t>
            </w:r>
          </w:p>
        </w:tc>
        <w:tc>
          <w:tcPr>
            <w:tcW w:w="2575" w:type="dxa"/>
          </w:tcPr>
          <w:p w:rsidR="00570778" w:rsidRDefault="00D01B3C">
            <w:pPr>
              <w:spacing w:line="360" w:lineRule="auto"/>
              <w:jc w:val="center"/>
              <w:rPr>
                <w:szCs w:val="21"/>
              </w:rPr>
            </w:pPr>
            <w:r>
              <w:rPr>
                <w:rFonts w:hint="eastAsia"/>
                <w:szCs w:val="21"/>
              </w:rPr>
              <w:t>0.001%</w:t>
            </w:r>
            <w:r>
              <w:rPr>
                <w:rFonts w:hint="eastAsia"/>
                <w:szCs w:val="21"/>
              </w:rPr>
              <w:t>～</w:t>
            </w:r>
            <w:r>
              <w:rPr>
                <w:rFonts w:hint="eastAsia"/>
                <w:szCs w:val="21"/>
              </w:rPr>
              <w:t>0.2</w:t>
            </w:r>
            <w:r>
              <w:rPr>
                <w:rFonts w:hint="eastAsia"/>
                <w:szCs w:val="21"/>
              </w:rPr>
              <w:t>00</w:t>
            </w:r>
            <w:r>
              <w:rPr>
                <w:rFonts w:hint="eastAsia"/>
                <w:szCs w:val="21"/>
              </w:rPr>
              <w:t>%;</w:t>
            </w:r>
          </w:p>
        </w:tc>
        <w:tc>
          <w:tcPr>
            <w:tcW w:w="2655" w:type="dxa"/>
          </w:tcPr>
          <w:p w:rsidR="00570778" w:rsidRDefault="00D01B3C">
            <w:pPr>
              <w:spacing w:line="360" w:lineRule="auto"/>
              <w:jc w:val="center"/>
              <w:rPr>
                <w:szCs w:val="21"/>
              </w:rPr>
            </w:pPr>
            <w:r>
              <w:rPr>
                <w:rFonts w:hint="eastAsia"/>
                <w:szCs w:val="21"/>
              </w:rPr>
              <w:t>0.003%</w:t>
            </w:r>
            <w:r>
              <w:rPr>
                <w:rFonts w:hint="eastAsia"/>
                <w:szCs w:val="21"/>
              </w:rPr>
              <w:t>～</w:t>
            </w:r>
            <w:r>
              <w:rPr>
                <w:rFonts w:hint="eastAsia"/>
                <w:szCs w:val="21"/>
              </w:rPr>
              <w:t>1.0</w:t>
            </w:r>
            <w:r>
              <w:rPr>
                <w:rFonts w:hint="eastAsia"/>
                <w:szCs w:val="21"/>
              </w:rPr>
              <w:t>00</w:t>
            </w:r>
            <w:r>
              <w:rPr>
                <w:rFonts w:hint="eastAsia"/>
                <w:szCs w:val="21"/>
              </w:rPr>
              <w:t>%</w:t>
            </w:r>
          </w:p>
        </w:tc>
      </w:tr>
      <w:tr w:rsidR="00570778">
        <w:trPr>
          <w:jc w:val="center"/>
        </w:trPr>
        <w:tc>
          <w:tcPr>
            <w:tcW w:w="1257" w:type="dxa"/>
          </w:tcPr>
          <w:p w:rsidR="00570778" w:rsidRDefault="00D01B3C">
            <w:pPr>
              <w:spacing w:line="360" w:lineRule="auto"/>
              <w:jc w:val="center"/>
              <w:rPr>
                <w:szCs w:val="21"/>
              </w:rPr>
            </w:pPr>
            <w:proofErr w:type="gramStart"/>
            <w:r>
              <w:rPr>
                <w:rFonts w:hint="eastAsia"/>
                <w:szCs w:val="21"/>
              </w:rPr>
              <w:t>鹤壁天键</w:t>
            </w:r>
            <w:proofErr w:type="gramEnd"/>
          </w:p>
        </w:tc>
        <w:tc>
          <w:tcPr>
            <w:tcW w:w="1530" w:type="dxa"/>
          </w:tcPr>
          <w:p w:rsidR="00570778" w:rsidRDefault="00D01B3C">
            <w:pPr>
              <w:spacing w:line="360" w:lineRule="auto"/>
              <w:jc w:val="center"/>
              <w:rPr>
                <w:szCs w:val="21"/>
              </w:rPr>
            </w:pPr>
            <w:r>
              <w:rPr>
                <w:rFonts w:hint="eastAsia"/>
                <w:szCs w:val="21"/>
              </w:rPr>
              <w:t>TJFL-2</w:t>
            </w:r>
          </w:p>
        </w:tc>
        <w:tc>
          <w:tcPr>
            <w:tcW w:w="2575" w:type="dxa"/>
          </w:tcPr>
          <w:p w:rsidR="00570778" w:rsidRDefault="00D01B3C">
            <w:pPr>
              <w:spacing w:line="360" w:lineRule="auto"/>
              <w:jc w:val="center"/>
              <w:rPr>
                <w:szCs w:val="21"/>
              </w:rPr>
            </w:pPr>
            <w:r>
              <w:rPr>
                <w:rFonts w:hint="eastAsia"/>
                <w:szCs w:val="21"/>
              </w:rPr>
              <w:t>0.001%</w:t>
            </w:r>
            <w:r>
              <w:rPr>
                <w:rFonts w:hint="eastAsia"/>
                <w:szCs w:val="21"/>
              </w:rPr>
              <w:t>～</w:t>
            </w:r>
            <w:r>
              <w:rPr>
                <w:rFonts w:hint="eastAsia"/>
                <w:szCs w:val="21"/>
              </w:rPr>
              <w:t>0.5</w:t>
            </w:r>
            <w:r>
              <w:rPr>
                <w:rFonts w:hint="eastAsia"/>
                <w:szCs w:val="21"/>
              </w:rPr>
              <w:t>00</w:t>
            </w:r>
            <w:r>
              <w:rPr>
                <w:rFonts w:hint="eastAsia"/>
                <w:szCs w:val="21"/>
              </w:rPr>
              <w:t>%</w:t>
            </w:r>
          </w:p>
        </w:tc>
        <w:tc>
          <w:tcPr>
            <w:tcW w:w="2655" w:type="dxa"/>
          </w:tcPr>
          <w:p w:rsidR="00570778" w:rsidRDefault="00D01B3C">
            <w:pPr>
              <w:spacing w:line="360" w:lineRule="auto"/>
              <w:jc w:val="center"/>
              <w:rPr>
                <w:szCs w:val="21"/>
              </w:rPr>
            </w:pPr>
            <w:r>
              <w:rPr>
                <w:rFonts w:hint="eastAsia"/>
                <w:szCs w:val="21"/>
              </w:rPr>
              <w:t>0.001%</w:t>
            </w:r>
            <w:r>
              <w:rPr>
                <w:rFonts w:hint="eastAsia"/>
                <w:szCs w:val="21"/>
              </w:rPr>
              <w:t>～</w:t>
            </w:r>
            <w:r>
              <w:rPr>
                <w:rFonts w:hint="eastAsia"/>
                <w:szCs w:val="21"/>
              </w:rPr>
              <w:t>0.5</w:t>
            </w:r>
            <w:r>
              <w:rPr>
                <w:rFonts w:hint="eastAsia"/>
                <w:szCs w:val="21"/>
              </w:rPr>
              <w:t>00</w:t>
            </w:r>
            <w:r>
              <w:rPr>
                <w:rFonts w:hint="eastAsia"/>
                <w:szCs w:val="21"/>
              </w:rPr>
              <w:t>%</w:t>
            </w:r>
          </w:p>
        </w:tc>
      </w:tr>
    </w:tbl>
    <w:p w:rsidR="00570778" w:rsidRDefault="00570778">
      <w:pPr>
        <w:spacing w:line="360" w:lineRule="auto"/>
        <w:rPr>
          <w:sz w:val="24"/>
        </w:rPr>
      </w:pPr>
    </w:p>
    <w:p w:rsidR="00570778" w:rsidRDefault="00D01B3C">
      <w:pPr>
        <w:spacing w:line="360" w:lineRule="auto"/>
        <w:rPr>
          <w:b/>
          <w:bCs/>
          <w:szCs w:val="21"/>
        </w:rPr>
      </w:pPr>
      <w:r>
        <w:rPr>
          <w:rFonts w:hint="eastAsia"/>
          <w:b/>
          <w:bCs/>
          <w:szCs w:val="21"/>
        </w:rPr>
        <w:t>注：氟含量的单位</w:t>
      </w:r>
      <w:r>
        <w:rPr>
          <w:rFonts w:hint="eastAsia"/>
          <w:b/>
          <w:bCs/>
          <w:szCs w:val="21"/>
        </w:rPr>
        <w:sym w:font="Symbol" w:char="F06D"/>
      </w:r>
      <w:r>
        <w:rPr>
          <w:rFonts w:hint="eastAsia"/>
          <w:b/>
          <w:bCs/>
          <w:szCs w:val="21"/>
        </w:rPr>
        <w:t>g/g</w:t>
      </w:r>
      <w:r>
        <w:rPr>
          <w:rFonts w:hint="eastAsia"/>
          <w:b/>
          <w:bCs/>
          <w:szCs w:val="21"/>
        </w:rPr>
        <w:t>和氯含量的单位</w:t>
      </w:r>
      <w:r>
        <w:rPr>
          <w:rFonts w:hint="eastAsia"/>
          <w:b/>
          <w:bCs/>
          <w:szCs w:val="21"/>
        </w:rPr>
        <w:t>%</w:t>
      </w:r>
      <w:r>
        <w:rPr>
          <w:rFonts w:hint="eastAsia"/>
          <w:b/>
          <w:bCs/>
          <w:szCs w:val="21"/>
        </w:rPr>
        <w:t>是国标规定，并查阅相关国际标准表达一致。</w:t>
      </w:r>
    </w:p>
    <w:p w:rsidR="00570778" w:rsidRDefault="00D01B3C">
      <w:pPr>
        <w:spacing w:line="360" w:lineRule="auto"/>
        <w:rPr>
          <w:sz w:val="24"/>
        </w:rPr>
      </w:pPr>
      <w:r>
        <w:rPr>
          <w:rFonts w:hint="eastAsia"/>
          <w:sz w:val="24"/>
        </w:rPr>
        <w:t xml:space="preserve">2 </w:t>
      </w:r>
      <w:r>
        <w:rPr>
          <w:rFonts w:hint="eastAsia"/>
          <w:sz w:val="24"/>
        </w:rPr>
        <w:t>计量特性</w:t>
      </w:r>
    </w:p>
    <w:p w:rsidR="00570778" w:rsidRDefault="00D01B3C">
      <w:pPr>
        <w:spacing w:line="360" w:lineRule="auto"/>
        <w:ind w:firstLineChars="200" w:firstLine="480"/>
        <w:rPr>
          <w:sz w:val="24"/>
        </w:rPr>
      </w:pPr>
      <w:r>
        <w:rPr>
          <w:rFonts w:hint="eastAsia"/>
          <w:sz w:val="24"/>
        </w:rPr>
        <w:t>本规范主要考察了</w:t>
      </w:r>
      <w:r>
        <w:rPr>
          <w:rFonts w:hint="eastAsia"/>
          <w:sz w:val="24"/>
        </w:rPr>
        <w:t>煤中氟</w:t>
      </w:r>
      <w:r>
        <w:rPr>
          <w:rFonts w:hint="eastAsia"/>
          <w:sz w:val="24"/>
        </w:rPr>
        <w:t>/</w:t>
      </w:r>
      <w:r>
        <w:rPr>
          <w:rFonts w:hint="eastAsia"/>
          <w:sz w:val="24"/>
        </w:rPr>
        <w:t>氯测定仪</w:t>
      </w:r>
      <w:r>
        <w:rPr>
          <w:rFonts w:hint="eastAsia"/>
          <w:sz w:val="24"/>
        </w:rPr>
        <w:t>最重要的两项指标：示值重复性和仪器的示值误差。</w:t>
      </w:r>
    </w:p>
    <w:p w:rsidR="00570778" w:rsidRDefault="00D01B3C">
      <w:pPr>
        <w:rPr>
          <w:sz w:val="24"/>
        </w:rPr>
      </w:pPr>
      <w:r>
        <w:rPr>
          <w:rFonts w:hint="eastAsia"/>
          <w:sz w:val="24"/>
        </w:rPr>
        <w:t>2.1</w:t>
      </w:r>
      <w:r>
        <w:rPr>
          <w:rFonts w:hint="eastAsia"/>
          <w:sz w:val="24"/>
        </w:rPr>
        <w:t>重复性</w:t>
      </w:r>
    </w:p>
    <w:p w:rsidR="00570778" w:rsidRDefault="00D01B3C">
      <w:pPr>
        <w:spacing w:line="360" w:lineRule="auto"/>
        <w:ind w:firstLineChars="200" w:firstLine="480"/>
        <w:rPr>
          <w:sz w:val="24"/>
        </w:rPr>
      </w:pPr>
      <w:r>
        <w:rPr>
          <w:rFonts w:hint="eastAsia"/>
          <w:sz w:val="24"/>
        </w:rPr>
        <w:t>重复性限表征的是，被校准</w:t>
      </w:r>
      <w:r>
        <w:rPr>
          <w:rFonts w:hint="eastAsia"/>
          <w:sz w:val="24"/>
        </w:rPr>
        <w:t>煤中氟</w:t>
      </w:r>
      <w:r>
        <w:rPr>
          <w:rFonts w:hint="eastAsia"/>
          <w:sz w:val="24"/>
        </w:rPr>
        <w:t>/</w:t>
      </w:r>
      <w:r>
        <w:rPr>
          <w:rFonts w:hint="eastAsia"/>
          <w:sz w:val="24"/>
        </w:rPr>
        <w:t>氯测定仪</w:t>
      </w:r>
      <w:r>
        <w:rPr>
          <w:rFonts w:hint="eastAsia"/>
          <w:sz w:val="24"/>
        </w:rPr>
        <w:t>在相同测量条件下多次重复测量同一种标准物质时所得结果之间的一致程度，体现了测试结果的分散程度。</w:t>
      </w:r>
    </w:p>
    <w:p w:rsidR="00570778" w:rsidRDefault="00D01B3C">
      <w:pPr>
        <w:spacing w:line="360" w:lineRule="auto"/>
        <w:rPr>
          <w:sz w:val="24"/>
        </w:rPr>
      </w:pPr>
      <w:r>
        <w:rPr>
          <w:rFonts w:hint="eastAsia"/>
          <w:sz w:val="24"/>
        </w:rPr>
        <w:lastRenderedPageBreak/>
        <w:t>2.2</w:t>
      </w:r>
      <w:r>
        <w:rPr>
          <w:rFonts w:hint="eastAsia"/>
          <w:sz w:val="24"/>
        </w:rPr>
        <w:t>示值误差</w:t>
      </w:r>
    </w:p>
    <w:p w:rsidR="00570778" w:rsidRDefault="00D01B3C">
      <w:pPr>
        <w:spacing w:line="360" w:lineRule="auto"/>
        <w:ind w:firstLineChars="200" w:firstLine="480"/>
        <w:rPr>
          <w:sz w:val="24"/>
        </w:rPr>
      </w:pPr>
      <w:r>
        <w:rPr>
          <w:rFonts w:hint="eastAsia"/>
          <w:sz w:val="24"/>
        </w:rPr>
        <w:t>仪器的示值误差表征的是，被校准</w:t>
      </w:r>
      <w:r>
        <w:rPr>
          <w:rFonts w:hint="eastAsia"/>
          <w:sz w:val="24"/>
        </w:rPr>
        <w:t>煤中氟</w:t>
      </w:r>
      <w:r>
        <w:rPr>
          <w:rFonts w:hint="eastAsia"/>
          <w:sz w:val="24"/>
        </w:rPr>
        <w:t>/</w:t>
      </w:r>
      <w:r>
        <w:rPr>
          <w:rFonts w:hint="eastAsia"/>
          <w:sz w:val="24"/>
        </w:rPr>
        <w:t>氯测定仪</w:t>
      </w:r>
      <w:r>
        <w:rPr>
          <w:rFonts w:hint="eastAsia"/>
          <w:sz w:val="24"/>
        </w:rPr>
        <w:t>测量同一种标准物质时重复测量的平均值与标准物质的标准值间的一致程度，体现了测试结果的准确程度。</w:t>
      </w:r>
    </w:p>
    <w:p w:rsidR="00570778" w:rsidRDefault="00D01B3C">
      <w:pPr>
        <w:spacing w:line="360" w:lineRule="auto"/>
        <w:rPr>
          <w:b/>
          <w:bCs/>
          <w:sz w:val="24"/>
        </w:rPr>
      </w:pPr>
      <w:r>
        <w:rPr>
          <w:rFonts w:hint="eastAsia"/>
          <w:b/>
          <w:bCs/>
          <w:sz w:val="24"/>
        </w:rPr>
        <w:t xml:space="preserve">3 </w:t>
      </w:r>
      <w:r>
        <w:rPr>
          <w:rFonts w:hint="eastAsia"/>
          <w:b/>
          <w:bCs/>
          <w:sz w:val="24"/>
        </w:rPr>
        <w:t>校准条件</w:t>
      </w:r>
    </w:p>
    <w:p w:rsidR="00570778" w:rsidRDefault="00D01B3C">
      <w:pPr>
        <w:spacing w:line="360" w:lineRule="auto"/>
        <w:rPr>
          <w:sz w:val="24"/>
        </w:rPr>
      </w:pPr>
      <w:r>
        <w:rPr>
          <w:rFonts w:hint="eastAsia"/>
          <w:sz w:val="24"/>
        </w:rPr>
        <w:t xml:space="preserve">3.1 </w:t>
      </w:r>
      <w:r>
        <w:rPr>
          <w:rFonts w:hint="eastAsia"/>
          <w:sz w:val="24"/>
        </w:rPr>
        <w:t>环境条件</w:t>
      </w:r>
    </w:p>
    <w:p w:rsidR="00570778" w:rsidRDefault="00D01B3C">
      <w:pPr>
        <w:spacing w:line="360" w:lineRule="auto"/>
        <w:ind w:firstLineChars="200" w:firstLine="480"/>
        <w:rPr>
          <w:sz w:val="24"/>
        </w:rPr>
      </w:pPr>
      <w:r>
        <w:rPr>
          <w:rFonts w:hint="eastAsia"/>
          <w:sz w:val="24"/>
        </w:rPr>
        <w:t>本规范对校准实验室环境温度、湿度作了限定，要求环境温度：（</w:t>
      </w:r>
      <w:r>
        <w:rPr>
          <w:rFonts w:hint="eastAsia"/>
          <w:sz w:val="24"/>
        </w:rPr>
        <w:t>5~40</w:t>
      </w:r>
      <w:r>
        <w:rPr>
          <w:rFonts w:hint="eastAsia"/>
          <w:sz w:val="24"/>
        </w:rPr>
        <w:t>）</w:t>
      </w:r>
      <w:r>
        <w:rPr>
          <w:rFonts w:ascii="宋体" w:hAnsi="宋体" w:cs="宋体" w:hint="eastAsia"/>
          <w:sz w:val="24"/>
        </w:rPr>
        <w:t>℃</w:t>
      </w:r>
      <w:r>
        <w:rPr>
          <w:rFonts w:hint="eastAsia"/>
          <w:sz w:val="24"/>
        </w:rPr>
        <w:t>。</w:t>
      </w:r>
      <w:r>
        <w:rPr>
          <w:rFonts w:hint="eastAsia"/>
          <w:sz w:val="24"/>
          <w:lang w:val="zh-CN"/>
        </w:rPr>
        <w:t>相对湿度不大于</w:t>
      </w:r>
      <w:r>
        <w:rPr>
          <w:rFonts w:hint="eastAsia"/>
          <w:sz w:val="24"/>
        </w:rPr>
        <w:t>8</w:t>
      </w:r>
      <w:r>
        <w:rPr>
          <w:rFonts w:hint="eastAsia"/>
          <w:sz w:val="24"/>
          <w:lang w:val="zh-CN"/>
        </w:rPr>
        <w:t>5%</w:t>
      </w:r>
      <w:r>
        <w:rPr>
          <w:rFonts w:hint="eastAsia"/>
          <w:sz w:val="24"/>
          <w:lang w:val="zh-CN"/>
        </w:rPr>
        <w:t>。</w:t>
      </w:r>
      <w:r>
        <w:rPr>
          <w:rFonts w:hint="eastAsia"/>
          <w:sz w:val="24"/>
        </w:rPr>
        <w:t>此外，还要求</w:t>
      </w:r>
      <w:r>
        <w:rPr>
          <w:rFonts w:hint="eastAsia"/>
          <w:sz w:val="24"/>
          <w:lang w:val="zh-CN"/>
        </w:rPr>
        <w:t>仪</w:t>
      </w:r>
      <w:r>
        <w:rPr>
          <w:rFonts w:hint="eastAsia"/>
          <w:sz w:val="24"/>
        </w:rPr>
        <w:t>器</w:t>
      </w:r>
      <w:r>
        <w:rPr>
          <w:rFonts w:hint="eastAsia"/>
          <w:sz w:val="24"/>
          <w:lang w:val="zh-CN"/>
        </w:rPr>
        <w:t>周围不得有强烈的震动，</w:t>
      </w:r>
      <w:r>
        <w:rPr>
          <w:rFonts w:hint="eastAsia"/>
          <w:sz w:val="24"/>
        </w:rPr>
        <w:t>无强交流电、磁场干扰，无腐蚀性气体存在</w:t>
      </w:r>
      <w:r>
        <w:rPr>
          <w:rFonts w:hint="eastAsia"/>
          <w:sz w:val="24"/>
          <w:lang w:val="zh-CN"/>
        </w:rPr>
        <w:t>影响</w:t>
      </w:r>
      <w:r>
        <w:rPr>
          <w:rFonts w:hint="eastAsia"/>
          <w:sz w:val="24"/>
        </w:rPr>
        <w:t>。</w:t>
      </w:r>
    </w:p>
    <w:p w:rsidR="00570778" w:rsidRDefault="00D01B3C">
      <w:pPr>
        <w:spacing w:line="360" w:lineRule="auto"/>
        <w:rPr>
          <w:sz w:val="24"/>
        </w:rPr>
      </w:pPr>
      <w:r>
        <w:rPr>
          <w:rFonts w:hint="eastAsia"/>
          <w:sz w:val="24"/>
        </w:rPr>
        <w:t xml:space="preserve">3.2 </w:t>
      </w:r>
      <w:r>
        <w:rPr>
          <w:rFonts w:hint="eastAsia"/>
          <w:sz w:val="24"/>
        </w:rPr>
        <w:t>测量标准及其他设备</w:t>
      </w:r>
    </w:p>
    <w:p w:rsidR="00570778" w:rsidRDefault="00D01B3C">
      <w:pPr>
        <w:spacing w:line="360" w:lineRule="auto"/>
        <w:ind w:firstLineChars="200" w:firstLine="480"/>
        <w:rPr>
          <w:sz w:val="24"/>
        </w:rPr>
      </w:pPr>
      <w:r>
        <w:rPr>
          <w:rFonts w:hint="eastAsia"/>
          <w:sz w:val="24"/>
        </w:rPr>
        <w:t>本规范要求采用标准物质对</w:t>
      </w:r>
      <w:r>
        <w:rPr>
          <w:rFonts w:hint="eastAsia"/>
          <w:sz w:val="24"/>
        </w:rPr>
        <w:t>煤中氟</w:t>
      </w:r>
      <w:r>
        <w:rPr>
          <w:rFonts w:hint="eastAsia"/>
          <w:sz w:val="24"/>
        </w:rPr>
        <w:t>/</w:t>
      </w:r>
      <w:r>
        <w:rPr>
          <w:rFonts w:hint="eastAsia"/>
          <w:sz w:val="24"/>
        </w:rPr>
        <w:t>氯测定仪</w:t>
      </w:r>
      <w:r>
        <w:rPr>
          <w:rFonts w:hint="eastAsia"/>
          <w:sz w:val="24"/>
        </w:rPr>
        <w:t>进行校准，要求所用标物为由国家计量行政部门批准颁布的有证标准物质，并由有资质的单位生产发售。</w:t>
      </w:r>
    </w:p>
    <w:p w:rsidR="00570778" w:rsidRDefault="00D01B3C">
      <w:pPr>
        <w:spacing w:line="360" w:lineRule="auto"/>
        <w:ind w:firstLineChars="200" w:firstLine="480"/>
        <w:rPr>
          <w:sz w:val="24"/>
        </w:rPr>
      </w:pPr>
      <w:r>
        <w:rPr>
          <w:rFonts w:hint="eastAsia"/>
          <w:sz w:val="24"/>
        </w:rPr>
        <w:t>煤中氟</w:t>
      </w:r>
      <w:r>
        <w:rPr>
          <w:rFonts w:hint="eastAsia"/>
          <w:sz w:val="24"/>
        </w:rPr>
        <w:t>/</w:t>
      </w:r>
      <w:r>
        <w:rPr>
          <w:rFonts w:hint="eastAsia"/>
          <w:sz w:val="24"/>
        </w:rPr>
        <w:t>氯测定仪</w:t>
      </w:r>
      <w:r>
        <w:rPr>
          <w:rFonts w:hint="eastAsia"/>
          <w:sz w:val="24"/>
        </w:rPr>
        <w:t>测量过程中天平、</w:t>
      </w:r>
      <w:r>
        <w:rPr>
          <w:rFonts w:hint="eastAsia"/>
          <w:sz w:val="24"/>
        </w:rPr>
        <w:t>测试水分干燥箱</w:t>
      </w:r>
      <w:r>
        <w:rPr>
          <w:rFonts w:hint="eastAsia"/>
          <w:sz w:val="24"/>
        </w:rPr>
        <w:t>是不可缺少的设备，要，天平：（</w:t>
      </w:r>
      <w:r>
        <w:rPr>
          <w:rFonts w:hint="eastAsia"/>
          <w:sz w:val="24"/>
        </w:rPr>
        <w:t>0~200</w:t>
      </w:r>
      <w:r>
        <w:rPr>
          <w:rFonts w:hint="eastAsia"/>
          <w:sz w:val="24"/>
        </w:rPr>
        <w:t>）</w:t>
      </w:r>
      <w:r>
        <w:rPr>
          <w:rFonts w:hint="eastAsia"/>
          <w:sz w:val="24"/>
        </w:rPr>
        <w:t>g</w:t>
      </w:r>
      <w:r>
        <w:rPr>
          <w:rFonts w:hint="eastAsia"/>
          <w:sz w:val="24"/>
        </w:rPr>
        <w:t>，分度值</w:t>
      </w:r>
      <w:r>
        <w:rPr>
          <w:rFonts w:hint="eastAsia"/>
          <w:sz w:val="24"/>
        </w:rPr>
        <w:t>0.1mg</w:t>
      </w:r>
      <w:r>
        <w:rPr>
          <w:rFonts w:hint="eastAsia"/>
          <w:sz w:val="24"/>
        </w:rPr>
        <w:t>，</w:t>
      </w:r>
      <w:r>
        <w:rPr>
          <w:rFonts w:hint="eastAsia"/>
          <w:sz w:val="24"/>
        </w:rPr>
        <w:t>干燥箱技术要求满足</w:t>
      </w:r>
      <w:r>
        <w:rPr>
          <w:rFonts w:hint="eastAsia"/>
          <w:sz w:val="24"/>
        </w:rPr>
        <w:t>GB/T 212</w:t>
      </w:r>
      <w:r>
        <w:rPr>
          <w:rFonts w:hint="eastAsia"/>
          <w:sz w:val="24"/>
        </w:rPr>
        <w:t>技术要求。</w:t>
      </w:r>
    </w:p>
    <w:p w:rsidR="00570778" w:rsidRDefault="00D01B3C">
      <w:pPr>
        <w:spacing w:line="360" w:lineRule="auto"/>
        <w:rPr>
          <w:b/>
          <w:bCs/>
          <w:sz w:val="24"/>
        </w:rPr>
      </w:pPr>
      <w:r>
        <w:rPr>
          <w:rFonts w:hint="eastAsia"/>
          <w:b/>
          <w:bCs/>
          <w:sz w:val="24"/>
        </w:rPr>
        <w:t xml:space="preserve">4 </w:t>
      </w:r>
      <w:r>
        <w:rPr>
          <w:rFonts w:hint="eastAsia"/>
          <w:b/>
          <w:bCs/>
          <w:sz w:val="24"/>
        </w:rPr>
        <w:t>校准项目和方法</w:t>
      </w:r>
    </w:p>
    <w:p w:rsidR="00570778" w:rsidRDefault="00D01B3C">
      <w:pPr>
        <w:spacing w:line="360" w:lineRule="auto"/>
        <w:rPr>
          <w:sz w:val="24"/>
        </w:rPr>
      </w:pPr>
      <w:r>
        <w:rPr>
          <w:rFonts w:hint="eastAsia"/>
          <w:sz w:val="24"/>
        </w:rPr>
        <w:t xml:space="preserve">4.1 </w:t>
      </w:r>
      <w:r>
        <w:rPr>
          <w:rFonts w:hint="eastAsia"/>
          <w:sz w:val="24"/>
        </w:rPr>
        <w:t>校准前</w:t>
      </w:r>
      <w:r>
        <w:rPr>
          <w:rFonts w:hint="eastAsia"/>
          <w:sz w:val="24"/>
        </w:rPr>
        <w:t>检查</w:t>
      </w:r>
    </w:p>
    <w:p w:rsidR="00570778" w:rsidRDefault="00D01B3C">
      <w:pPr>
        <w:spacing w:line="360" w:lineRule="auto"/>
        <w:ind w:firstLineChars="200" w:firstLine="480"/>
        <w:rPr>
          <w:sz w:val="24"/>
        </w:rPr>
      </w:pPr>
      <w:r>
        <w:rPr>
          <w:rFonts w:ascii="宋体" w:hAnsi="宋体" w:hint="eastAsia"/>
          <w:sz w:val="24"/>
          <w:lang w:val="zh-CN"/>
        </w:rPr>
        <w:t>仪器应具有名称、型号、制造厂、出厂编号等标识。仪器各部件齐全且连接良好，各旋钮及按键应能正常工作，无影响使用性能的缺陷。所使用的玻璃仪器和其它用品应清洁</w:t>
      </w:r>
      <w:r>
        <w:rPr>
          <w:rFonts w:hint="eastAsia"/>
          <w:sz w:val="24"/>
          <w:lang w:val="zh-CN"/>
        </w:rPr>
        <w:t>。</w:t>
      </w:r>
    </w:p>
    <w:p w:rsidR="00570778" w:rsidRDefault="00D01B3C">
      <w:pPr>
        <w:spacing w:line="360" w:lineRule="auto"/>
        <w:rPr>
          <w:sz w:val="24"/>
        </w:rPr>
      </w:pPr>
      <w:r>
        <w:rPr>
          <w:rFonts w:hint="eastAsia"/>
          <w:sz w:val="24"/>
        </w:rPr>
        <w:t>4.</w:t>
      </w:r>
      <w:r>
        <w:rPr>
          <w:rFonts w:hint="eastAsia"/>
          <w:sz w:val="24"/>
        </w:rPr>
        <w:t>2</w:t>
      </w:r>
      <w:r>
        <w:rPr>
          <w:rFonts w:hint="eastAsia"/>
          <w:sz w:val="24"/>
        </w:rPr>
        <w:t>重复性</w:t>
      </w:r>
    </w:p>
    <w:p w:rsidR="00D111C2" w:rsidRPr="00D111C2" w:rsidRDefault="00D01B3C" w:rsidP="00D111C2">
      <w:pPr>
        <w:pStyle w:val="ab"/>
        <w:snapToGrid/>
        <w:spacing w:line="360" w:lineRule="auto"/>
        <w:ind w:firstLine="480"/>
        <w:rPr>
          <w:rFonts w:ascii="Times New Roman" w:hAnsi="Times New Roman" w:cs="Times New Roman"/>
          <w:color w:val="auto"/>
          <w:spacing w:val="0"/>
          <w:kern w:val="2"/>
          <w:szCs w:val="24"/>
        </w:rPr>
      </w:pPr>
      <w:r>
        <w:rPr>
          <w:rFonts w:ascii="Times New Roman" w:hAnsi="Times New Roman" w:cs="Times New Roman" w:hint="eastAsia"/>
          <w:color w:val="auto"/>
          <w:spacing w:val="0"/>
          <w:kern w:val="2"/>
          <w:szCs w:val="24"/>
        </w:rPr>
        <w:t>选取符合要求</w:t>
      </w:r>
      <w:r>
        <w:rPr>
          <w:rFonts w:ascii="Times New Roman" w:hAnsi="Times New Roman" w:cs="Times New Roman" w:hint="eastAsia"/>
          <w:color w:val="auto"/>
          <w:spacing w:val="0"/>
          <w:kern w:val="2"/>
          <w:szCs w:val="24"/>
        </w:rPr>
        <w:t>的标准物质，并尽量选择氟</w:t>
      </w:r>
      <w:r>
        <w:rPr>
          <w:rFonts w:ascii="Times New Roman" w:hAnsi="Times New Roman" w:cs="Times New Roman" w:hint="eastAsia"/>
          <w:color w:val="auto"/>
          <w:spacing w:val="0"/>
          <w:kern w:val="2"/>
          <w:szCs w:val="24"/>
        </w:rPr>
        <w:t>/</w:t>
      </w:r>
      <w:r>
        <w:rPr>
          <w:rFonts w:ascii="Times New Roman" w:hAnsi="Times New Roman" w:cs="Times New Roman" w:hint="eastAsia"/>
          <w:color w:val="auto"/>
          <w:spacing w:val="0"/>
          <w:kern w:val="2"/>
          <w:szCs w:val="24"/>
        </w:rPr>
        <w:t>氯含量范围中间值的标准物质，按照仪器说明书给出的方法进行</w:t>
      </w:r>
      <w:r>
        <w:rPr>
          <w:rFonts w:ascii="Times New Roman" w:hAnsi="Times New Roman" w:cs="Times New Roman" w:hint="eastAsia"/>
          <w:color w:val="auto"/>
          <w:spacing w:val="0"/>
          <w:kern w:val="2"/>
          <w:szCs w:val="24"/>
        </w:rPr>
        <w:t>6</w:t>
      </w:r>
      <w:r>
        <w:rPr>
          <w:rFonts w:ascii="Times New Roman" w:hAnsi="Times New Roman" w:cs="Times New Roman" w:hint="eastAsia"/>
          <w:color w:val="auto"/>
          <w:spacing w:val="0"/>
          <w:kern w:val="2"/>
          <w:szCs w:val="24"/>
        </w:rPr>
        <w:t>次重复性实验。</w:t>
      </w:r>
      <w:r w:rsidR="00D111C2">
        <w:rPr>
          <w:rFonts w:hint="eastAsia"/>
          <w:color w:val="auto"/>
        </w:rPr>
        <w:t>在《MT/T 940-2005煤中氟氯测试仪通用技术条件》中关于两次</w:t>
      </w:r>
      <w:proofErr w:type="gramStart"/>
      <w:r w:rsidR="00D111C2">
        <w:rPr>
          <w:rFonts w:hint="eastAsia"/>
          <w:color w:val="auto"/>
        </w:rPr>
        <w:t>重复项限</w:t>
      </w:r>
      <w:proofErr w:type="gramEnd"/>
      <w:r w:rsidR="00D111C2">
        <w:rPr>
          <w:rFonts w:hint="eastAsia"/>
          <w:color w:val="auto"/>
        </w:rPr>
        <w:t>r和多次计算的标准差s的计算如图1：</w:t>
      </w:r>
    </w:p>
    <w:p w:rsidR="00D111C2" w:rsidRDefault="00D111C2" w:rsidP="00D111C2">
      <w:pPr>
        <w:spacing w:line="360" w:lineRule="auto"/>
        <w:jc w:val="center"/>
        <w:rPr>
          <w:szCs w:val="21"/>
        </w:rPr>
      </w:pPr>
      <w:r>
        <w:rPr>
          <w:rFonts w:hint="eastAsia"/>
          <w:szCs w:val="21"/>
        </w:rPr>
        <w:t>图</w:t>
      </w:r>
      <w:r>
        <w:rPr>
          <w:rFonts w:hint="eastAsia"/>
          <w:szCs w:val="21"/>
        </w:rPr>
        <w:t xml:space="preserve">1 </w:t>
      </w:r>
      <w:r>
        <w:rPr>
          <w:rFonts w:hint="eastAsia"/>
          <w:szCs w:val="21"/>
        </w:rPr>
        <w:t>通用技术条件关于极差与重复性计算</w:t>
      </w:r>
    </w:p>
    <w:p w:rsidR="00D111C2" w:rsidRDefault="00D111C2" w:rsidP="00D111C2">
      <w:pPr>
        <w:spacing w:line="360" w:lineRule="auto"/>
        <w:rPr>
          <w:sz w:val="24"/>
        </w:rPr>
      </w:pPr>
      <w:r>
        <w:rPr>
          <w:noProof/>
          <w:sz w:val="24"/>
        </w:rPr>
        <w:drawing>
          <wp:inline distT="0" distB="0" distL="0" distR="0">
            <wp:extent cx="4228740" cy="1542312"/>
            <wp:effectExtent l="19050" t="0" r="360" b="0"/>
            <wp:docPr id="10" name="图片 10" descr="C:\Users\hubiao\AppData\Local\Temp\WeChat Files\94c617faa8605136c6c9db13558d51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C:\Users\hubiao\AppData\Local\Temp\WeChat Files\94c617faa8605136c6c9db13558d51e.png"/>
                    <pic:cNvPicPr>
                      <a:picLocks noChangeAspect="1" noChangeArrowheads="1"/>
                    </pic:cNvPicPr>
                  </pic:nvPicPr>
                  <pic:blipFill>
                    <a:blip r:embed="rId15" cstate="print"/>
                    <a:srcRect/>
                    <a:stretch>
                      <a:fillRect/>
                    </a:stretch>
                  </pic:blipFill>
                  <pic:spPr>
                    <a:xfrm>
                      <a:off x="0" y="0"/>
                      <a:ext cx="4231096" cy="1543171"/>
                    </a:xfrm>
                    <a:prstGeom prst="rect">
                      <a:avLst/>
                    </a:prstGeom>
                    <a:noFill/>
                    <a:ln w="9525">
                      <a:noFill/>
                      <a:miter lim="800000"/>
                      <a:headEnd/>
                      <a:tailEnd/>
                    </a:ln>
                  </pic:spPr>
                </pic:pic>
              </a:graphicData>
            </a:graphic>
          </wp:inline>
        </w:drawing>
      </w:r>
    </w:p>
    <w:p w:rsidR="00D111C2" w:rsidRDefault="00D111C2" w:rsidP="00D111C2">
      <w:pPr>
        <w:spacing w:line="360" w:lineRule="auto"/>
        <w:ind w:firstLineChars="200" w:firstLine="480"/>
        <w:rPr>
          <w:sz w:val="24"/>
        </w:rPr>
      </w:pPr>
      <w:r>
        <w:rPr>
          <w:rFonts w:hint="eastAsia"/>
          <w:sz w:val="24"/>
        </w:rPr>
        <w:lastRenderedPageBreak/>
        <w:t>在（</w:t>
      </w:r>
      <w:r>
        <w:rPr>
          <w:rFonts w:hint="eastAsia"/>
          <w:sz w:val="24"/>
        </w:rPr>
        <w:t xml:space="preserve">50 </w:t>
      </w:r>
      <w:r>
        <w:rPr>
          <w:rFonts w:hint="eastAsia"/>
          <w:sz w:val="24"/>
        </w:rPr>
        <w:t>～</w:t>
      </w:r>
      <w:r>
        <w:rPr>
          <w:rFonts w:hint="eastAsia"/>
          <w:sz w:val="24"/>
        </w:rPr>
        <w:t xml:space="preserve"> 400</w:t>
      </w:r>
      <w:r>
        <w:rPr>
          <w:rFonts w:hint="eastAsia"/>
          <w:sz w:val="24"/>
        </w:rPr>
        <w:t>）μ</w:t>
      </w:r>
      <w:r>
        <w:rPr>
          <w:rFonts w:hint="eastAsia"/>
          <w:sz w:val="24"/>
        </w:rPr>
        <w:t>g/g</w:t>
      </w:r>
      <w:r>
        <w:rPr>
          <w:rFonts w:hint="eastAsia"/>
          <w:sz w:val="24"/>
        </w:rPr>
        <w:t>，以</w:t>
      </w:r>
      <w:r>
        <w:rPr>
          <w:rFonts w:hint="eastAsia"/>
          <w:sz w:val="24"/>
        </w:rPr>
        <w:t>GBW11121</w:t>
      </w:r>
      <w:r>
        <w:rPr>
          <w:rFonts w:hint="eastAsia"/>
          <w:sz w:val="24"/>
        </w:rPr>
        <w:t>（</w:t>
      </w:r>
      <w:r>
        <w:rPr>
          <w:rFonts w:hint="eastAsia"/>
          <w:sz w:val="24"/>
        </w:rPr>
        <w:t>247</w:t>
      </w:r>
      <w:r>
        <w:rPr>
          <w:rFonts w:hint="eastAsia"/>
          <w:sz w:val="24"/>
        </w:rPr>
        <w:t>±</w:t>
      </w:r>
      <w:r>
        <w:rPr>
          <w:rFonts w:hint="eastAsia"/>
          <w:sz w:val="24"/>
        </w:rPr>
        <w:t>15</w:t>
      </w:r>
      <w:r>
        <w:rPr>
          <w:rFonts w:hint="eastAsia"/>
          <w:sz w:val="24"/>
        </w:rPr>
        <w:t>）为例其</w:t>
      </w:r>
      <w:proofErr w:type="gramStart"/>
      <w:r>
        <w:rPr>
          <w:rFonts w:hint="eastAsia"/>
          <w:sz w:val="24"/>
        </w:rPr>
        <w:t>重复性限是两次</w:t>
      </w:r>
      <w:proofErr w:type="gramEnd"/>
      <w:r>
        <w:rPr>
          <w:rFonts w:hint="eastAsia"/>
          <w:sz w:val="24"/>
        </w:rPr>
        <w:t>测定的极差</w:t>
      </w:r>
      <w:r>
        <w:rPr>
          <w:rFonts w:hint="eastAsia"/>
          <w:sz w:val="24"/>
        </w:rPr>
        <w:t>r</w:t>
      </w:r>
      <w:r>
        <w:rPr>
          <w:rFonts w:hint="eastAsia"/>
          <w:sz w:val="24"/>
        </w:rPr>
        <w:t>为</w:t>
      </w:r>
      <w:r>
        <w:rPr>
          <w:rFonts w:hint="eastAsia"/>
          <w:sz w:val="24"/>
        </w:rPr>
        <w:t>25</w:t>
      </w:r>
      <w:r>
        <w:rPr>
          <w:rFonts w:hint="eastAsia"/>
          <w:sz w:val="24"/>
        </w:rPr>
        <w:t>μ</w:t>
      </w:r>
      <w:r>
        <w:rPr>
          <w:rFonts w:hint="eastAsia"/>
          <w:sz w:val="24"/>
        </w:rPr>
        <w:t>g/g</w:t>
      </w:r>
      <w:r>
        <w:rPr>
          <w:rFonts w:hint="eastAsia"/>
          <w:sz w:val="24"/>
        </w:rPr>
        <w:t>，按照《</w:t>
      </w:r>
      <w:r>
        <w:rPr>
          <w:rFonts w:hint="eastAsia"/>
          <w:sz w:val="24"/>
        </w:rPr>
        <w:t>MT/T 940-2005</w:t>
      </w:r>
      <w:r>
        <w:rPr>
          <w:rFonts w:hint="eastAsia"/>
          <w:sz w:val="24"/>
        </w:rPr>
        <w:t>煤中氟氯测试仪通用技术条件》</w:t>
      </w:r>
      <w:r>
        <w:rPr>
          <w:rFonts w:hint="eastAsia"/>
          <w:sz w:val="24"/>
        </w:rPr>
        <w:t>4.1</w:t>
      </w:r>
      <w:r>
        <w:rPr>
          <w:rFonts w:hint="eastAsia"/>
          <w:sz w:val="24"/>
        </w:rPr>
        <w:t>计算其标准偏差</w:t>
      </w:r>
      <w:r>
        <w:rPr>
          <w:rFonts w:hint="eastAsia"/>
          <w:sz w:val="24"/>
        </w:rPr>
        <w:t>s=8.9=9</w:t>
      </w:r>
      <w:r>
        <w:rPr>
          <w:rFonts w:hint="eastAsia"/>
          <w:sz w:val="24"/>
        </w:rPr>
        <w:t>。在大量的试验数据验证下，在（</w:t>
      </w:r>
      <w:r>
        <w:rPr>
          <w:rFonts w:hint="eastAsia"/>
          <w:sz w:val="24"/>
        </w:rPr>
        <w:t>50</w:t>
      </w:r>
      <w:r>
        <w:rPr>
          <w:rFonts w:hint="eastAsia"/>
          <w:sz w:val="24"/>
        </w:rPr>
        <w:t>～</w:t>
      </w:r>
      <w:r>
        <w:rPr>
          <w:rFonts w:hint="eastAsia"/>
          <w:sz w:val="24"/>
        </w:rPr>
        <w:t>400</w:t>
      </w:r>
      <w:r>
        <w:rPr>
          <w:rFonts w:hint="eastAsia"/>
          <w:sz w:val="24"/>
        </w:rPr>
        <w:t>）μ</w:t>
      </w:r>
      <w:r>
        <w:rPr>
          <w:rFonts w:hint="eastAsia"/>
          <w:sz w:val="24"/>
        </w:rPr>
        <w:t>g/g</w:t>
      </w:r>
      <w:r>
        <w:rPr>
          <w:rFonts w:hint="eastAsia"/>
          <w:sz w:val="24"/>
        </w:rPr>
        <w:t>测量区段，仪器重复测量</w:t>
      </w:r>
      <w:r>
        <w:rPr>
          <w:rFonts w:hint="eastAsia"/>
          <w:sz w:val="24"/>
        </w:rPr>
        <w:t>6</w:t>
      </w:r>
      <w:r>
        <w:rPr>
          <w:rFonts w:hint="eastAsia"/>
          <w:sz w:val="24"/>
        </w:rPr>
        <w:t>次的标准偏差均在</w:t>
      </w:r>
      <w:r>
        <w:rPr>
          <w:rFonts w:hint="eastAsia"/>
          <w:sz w:val="24"/>
        </w:rPr>
        <w:t>4.3~11</w:t>
      </w:r>
      <w:r>
        <w:rPr>
          <w:rFonts w:hint="eastAsia"/>
          <w:sz w:val="24"/>
        </w:rPr>
        <w:t>之间，因此考虑其适应性，其重复性限</w:t>
      </w:r>
      <w:r>
        <w:rPr>
          <w:rFonts w:hint="eastAsia"/>
          <w:sz w:val="24"/>
        </w:rPr>
        <w:t>s</w:t>
      </w:r>
      <w:r>
        <w:rPr>
          <w:rFonts w:hint="eastAsia"/>
          <w:sz w:val="24"/>
        </w:rPr>
        <w:t>为</w:t>
      </w:r>
      <w:r>
        <w:rPr>
          <w:rFonts w:hint="eastAsia"/>
          <w:sz w:val="24"/>
        </w:rPr>
        <w:t>12</w:t>
      </w:r>
      <w:r>
        <w:rPr>
          <w:rFonts w:hint="eastAsia"/>
          <w:sz w:val="24"/>
        </w:rPr>
        <w:t>μ</w:t>
      </w:r>
      <w:r>
        <w:rPr>
          <w:rFonts w:hint="eastAsia"/>
          <w:sz w:val="24"/>
        </w:rPr>
        <w:t>g/g</w:t>
      </w:r>
      <w:r>
        <w:rPr>
          <w:rFonts w:hint="eastAsia"/>
          <w:sz w:val="24"/>
        </w:rPr>
        <w:t>。</w:t>
      </w:r>
    </w:p>
    <w:p w:rsidR="00D111C2" w:rsidRDefault="00D111C2" w:rsidP="00D111C2">
      <w:pPr>
        <w:spacing w:line="360" w:lineRule="auto"/>
        <w:ind w:firstLineChars="200" w:firstLine="480"/>
        <w:rPr>
          <w:sz w:val="24"/>
        </w:rPr>
      </w:pPr>
      <w:r>
        <w:rPr>
          <w:rFonts w:hint="eastAsia"/>
          <w:sz w:val="24"/>
        </w:rPr>
        <w:t>在（</w:t>
      </w:r>
      <w:r>
        <w:rPr>
          <w:rFonts w:hint="eastAsia"/>
          <w:sz w:val="24"/>
        </w:rPr>
        <w:t xml:space="preserve">400 </w:t>
      </w:r>
      <w:r>
        <w:rPr>
          <w:rFonts w:hint="eastAsia"/>
          <w:sz w:val="24"/>
        </w:rPr>
        <w:t>～</w:t>
      </w:r>
      <w:r>
        <w:rPr>
          <w:rFonts w:hint="eastAsia"/>
          <w:sz w:val="24"/>
        </w:rPr>
        <w:t xml:space="preserve"> 2000</w:t>
      </w:r>
      <w:r>
        <w:rPr>
          <w:rFonts w:hint="eastAsia"/>
          <w:sz w:val="24"/>
        </w:rPr>
        <w:t>）μ</w:t>
      </w:r>
      <w:r>
        <w:rPr>
          <w:rFonts w:hint="eastAsia"/>
          <w:sz w:val="24"/>
        </w:rPr>
        <w:t>g/g</w:t>
      </w:r>
      <w:r>
        <w:rPr>
          <w:rFonts w:hint="eastAsia"/>
          <w:sz w:val="24"/>
        </w:rPr>
        <w:t>区段，仪器的重复性与仪器测试的示值大小存在正相关（与斜率偏离有关），随着测量示值的增大，其测试数据示值比较离散，在《</w:t>
      </w:r>
      <w:r>
        <w:rPr>
          <w:rFonts w:hint="eastAsia"/>
          <w:sz w:val="24"/>
        </w:rPr>
        <w:t>GB/T 4633-2014</w:t>
      </w:r>
      <w:r>
        <w:rPr>
          <w:rFonts w:hint="eastAsia"/>
          <w:sz w:val="24"/>
        </w:rPr>
        <w:t>煤中氟的测定方法》中，其</w:t>
      </w:r>
      <w:proofErr w:type="gramStart"/>
      <w:r>
        <w:rPr>
          <w:rFonts w:hint="eastAsia"/>
          <w:sz w:val="24"/>
        </w:rPr>
        <w:t>重复性限是两次</w:t>
      </w:r>
      <w:proofErr w:type="gramEnd"/>
      <w:r>
        <w:rPr>
          <w:rFonts w:hint="eastAsia"/>
          <w:sz w:val="24"/>
        </w:rPr>
        <w:t>测定的极差</w:t>
      </w:r>
      <w:r>
        <w:rPr>
          <w:rFonts w:hint="eastAsia"/>
          <w:sz w:val="24"/>
        </w:rPr>
        <w:t>r</w:t>
      </w:r>
      <w:r>
        <w:rPr>
          <w:rFonts w:hint="eastAsia"/>
          <w:sz w:val="24"/>
        </w:rPr>
        <w:t>为</w:t>
      </w:r>
      <w:r>
        <w:rPr>
          <w:rFonts w:hint="eastAsia"/>
          <w:sz w:val="24"/>
        </w:rPr>
        <w:t>10%</w:t>
      </w:r>
      <w:r>
        <w:rPr>
          <w:rFonts w:hint="eastAsia"/>
          <w:sz w:val="24"/>
        </w:rPr>
        <w:t>（相对），按照《</w:t>
      </w:r>
      <w:r>
        <w:rPr>
          <w:rFonts w:hint="eastAsia"/>
          <w:sz w:val="24"/>
        </w:rPr>
        <w:t>MT/T 940-2005</w:t>
      </w:r>
      <w:r>
        <w:rPr>
          <w:rFonts w:hint="eastAsia"/>
          <w:sz w:val="24"/>
        </w:rPr>
        <w:t>煤中氟氯测试仪通用技术条件》</w:t>
      </w:r>
      <w:r>
        <w:rPr>
          <w:rFonts w:hint="eastAsia"/>
          <w:sz w:val="24"/>
        </w:rPr>
        <w:t>4.1</w:t>
      </w:r>
      <w:r>
        <w:rPr>
          <w:rFonts w:hint="eastAsia"/>
          <w:sz w:val="24"/>
        </w:rPr>
        <w:t>计算其标准偏差</w:t>
      </w:r>
      <w:r>
        <w:rPr>
          <w:rFonts w:hint="eastAsia"/>
          <w:sz w:val="24"/>
        </w:rPr>
        <w:t>s=3.4%</w:t>
      </w:r>
      <w:r>
        <w:rPr>
          <w:rFonts w:hint="eastAsia"/>
          <w:sz w:val="24"/>
        </w:rPr>
        <w:t>×示值。通过大量试验和数据验证，此区段重复测量</w:t>
      </w:r>
      <w:r>
        <w:rPr>
          <w:rFonts w:hint="eastAsia"/>
          <w:sz w:val="24"/>
        </w:rPr>
        <w:t>6</w:t>
      </w:r>
      <w:r>
        <w:rPr>
          <w:rFonts w:hint="eastAsia"/>
          <w:sz w:val="24"/>
        </w:rPr>
        <w:t>次的标准偏差均在（</w:t>
      </w:r>
      <w:r>
        <w:rPr>
          <w:rFonts w:hint="eastAsia"/>
          <w:sz w:val="24"/>
        </w:rPr>
        <w:t>0.7%~2.8%</w:t>
      </w:r>
      <w:r>
        <w:rPr>
          <w:rFonts w:hint="eastAsia"/>
          <w:sz w:val="24"/>
        </w:rPr>
        <w:t>）</w:t>
      </w:r>
      <w:r>
        <w:rPr>
          <w:rFonts w:ascii="Arial" w:hAnsi="Arial" w:cs="Arial"/>
          <w:sz w:val="24"/>
        </w:rPr>
        <w:t>×</w:t>
      </w:r>
      <w:r>
        <w:rPr>
          <w:rFonts w:hint="eastAsia"/>
          <w:sz w:val="24"/>
        </w:rPr>
        <w:t>示值之间，其中约</w:t>
      </w:r>
      <w:r>
        <w:rPr>
          <w:rFonts w:hint="eastAsia"/>
          <w:sz w:val="24"/>
        </w:rPr>
        <w:t>92%</w:t>
      </w:r>
      <w:r>
        <w:rPr>
          <w:rFonts w:hint="eastAsia"/>
          <w:sz w:val="24"/>
        </w:rPr>
        <w:t>的数据标准偏差在</w:t>
      </w:r>
      <w:r>
        <w:rPr>
          <w:rFonts w:hint="eastAsia"/>
          <w:sz w:val="24"/>
        </w:rPr>
        <w:t>3%</w:t>
      </w:r>
      <w:r>
        <w:rPr>
          <w:rFonts w:hint="eastAsia"/>
          <w:sz w:val="24"/>
        </w:rPr>
        <w:t>以内，因此考虑其适应性，其重复性限</w:t>
      </w:r>
      <w:r>
        <w:rPr>
          <w:rFonts w:hint="eastAsia"/>
          <w:sz w:val="24"/>
        </w:rPr>
        <w:t>s</w:t>
      </w:r>
      <w:r>
        <w:rPr>
          <w:rFonts w:hint="eastAsia"/>
          <w:sz w:val="24"/>
        </w:rPr>
        <w:t>为（</w:t>
      </w:r>
      <w:r>
        <w:rPr>
          <w:rFonts w:hint="eastAsia"/>
          <w:sz w:val="24"/>
        </w:rPr>
        <w:t>3%</w:t>
      </w:r>
      <w:r>
        <w:rPr>
          <w:rFonts w:ascii="Arial" w:hAnsi="Arial" w:cs="Arial"/>
          <w:sz w:val="24"/>
        </w:rPr>
        <w:t>×</w:t>
      </w:r>
      <w:r>
        <w:rPr>
          <w:rFonts w:hint="eastAsia"/>
          <w:sz w:val="24"/>
        </w:rPr>
        <w:t>示值）μ</w:t>
      </w:r>
      <w:r>
        <w:rPr>
          <w:rFonts w:hint="eastAsia"/>
          <w:sz w:val="24"/>
        </w:rPr>
        <w:t>g/g</w:t>
      </w:r>
      <w:r>
        <w:rPr>
          <w:rFonts w:hint="eastAsia"/>
          <w:sz w:val="24"/>
        </w:rPr>
        <w:t>。</w:t>
      </w:r>
    </w:p>
    <w:p w:rsidR="00D111C2" w:rsidRDefault="00D111C2" w:rsidP="00D111C2">
      <w:pPr>
        <w:spacing w:line="360" w:lineRule="auto"/>
        <w:ind w:firstLineChars="200" w:firstLine="480"/>
        <w:rPr>
          <w:sz w:val="24"/>
        </w:rPr>
      </w:pPr>
      <w:r>
        <w:rPr>
          <w:rFonts w:hint="eastAsia"/>
          <w:sz w:val="24"/>
        </w:rPr>
        <w:t>2</w:t>
      </w:r>
      <w:r>
        <w:rPr>
          <w:rFonts w:hint="eastAsia"/>
          <w:sz w:val="24"/>
        </w:rPr>
        <w:t>）氯的测量重复性解释。氯测重复性数据与其测量示值关系不大，主要由仪器的结构等决定，在</w:t>
      </w:r>
      <w:r>
        <w:rPr>
          <w:rFonts w:hint="eastAsia"/>
          <w:b/>
          <w:bCs/>
          <w:sz w:val="24"/>
        </w:rPr>
        <w:t>《</w:t>
      </w:r>
      <w:r>
        <w:rPr>
          <w:sz w:val="24"/>
        </w:rPr>
        <w:t xml:space="preserve">GB/T </w:t>
      </w:r>
      <w:r>
        <w:rPr>
          <w:rFonts w:hint="eastAsia"/>
          <w:sz w:val="24"/>
        </w:rPr>
        <w:t>3558-2014</w:t>
      </w:r>
      <w:r>
        <w:rPr>
          <w:rFonts w:hint="eastAsia"/>
          <w:sz w:val="24"/>
        </w:rPr>
        <w:t>煤中氯的测定方法</w:t>
      </w:r>
      <w:r>
        <w:rPr>
          <w:rFonts w:hint="eastAsia"/>
          <w:b/>
          <w:bCs/>
          <w:sz w:val="24"/>
        </w:rPr>
        <w:t>》</w:t>
      </w:r>
      <w:r>
        <w:rPr>
          <w:rFonts w:hint="eastAsia"/>
          <w:sz w:val="24"/>
        </w:rPr>
        <w:t>中其重复性限</w:t>
      </w:r>
      <w:r>
        <w:rPr>
          <w:rFonts w:hint="eastAsia"/>
          <w:sz w:val="24"/>
        </w:rPr>
        <w:t>r</w:t>
      </w:r>
      <w:r>
        <w:rPr>
          <w:rFonts w:hint="eastAsia"/>
          <w:sz w:val="24"/>
        </w:rPr>
        <w:t>是两次测定的极差为</w:t>
      </w:r>
      <w:r>
        <w:rPr>
          <w:rFonts w:hint="eastAsia"/>
          <w:sz w:val="24"/>
        </w:rPr>
        <w:t>0.010%</w:t>
      </w:r>
      <w:r>
        <w:rPr>
          <w:rFonts w:hint="eastAsia"/>
          <w:sz w:val="24"/>
        </w:rPr>
        <w:t>，按照《</w:t>
      </w:r>
      <w:r>
        <w:rPr>
          <w:rFonts w:hint="eastAsia"/>
          <w:sz w:val="24"/>
        </w:rPr>
        <w:t>MT/T 940-2005</w:t>
      </w:r>
      <w:r>
        <w:rPr>
          <w:rFonts w:hint="eastAsia"/>
          <w:sz w:val="24"/>
        </w:rPr>
        <w:t>煤中氟氯测试仪通用技术条件》</w:t>
      </w:r>
      <w:r>
        <w:rPr>
          <w:rFonts w:hint="eastAsia"/>
          <w:sz w:val="24"/>
        </w:rPr>
        <w:t>4.1</w:t>
      </w:r>
      <w:r>
        <w:rPr>
          <w:rFonts w:hint="eastAsia"/>
          <w:sz w:val="24"/>
        </w:rPr>
        <w:t>计算其标准偏差</w:t>
      </w:r>
      <w:r>
        <w:rPr>
          <w:rFonts w:hint="eastAsia"/>
          <w:sz w:val="24"/>
        </w:rPr>
        <w:t>s=0.0035%</w:t>
      </w:r>
      <w:r>
        <w:rPr>
          <w:rFonts w:hint="eastAsia"/>
          <w:sz w:val="24"/>
        </w:rPr>
        <w:t>。在大量的试验数据验证下，仪器重复测量</w:t>
      </w:r>
      <w:r>
        <w:rPr>
          <w:rFonts w:hint="eastAsia"/>
          <w:sz w:val="24"/>
        </w:rPr>
        <w:t>6</w:t>
      </w:r>
      <w:r>
        <w:rPr>
          <w:rFonts w:hint="eastAsia"/>
          <w:sz w:val="24"/>
        </w:rPr>
        <w:t>次的标准偏差均在</w:t>
      </w:r>
      <w:r>
        <w:rPr>
          <w:rFonts w:hint="eastAsia"/>
          <w:sz w:val="24"/>
        </w:rPr>
        <w:t>0.001%~0.0054%</w:t>
      </w:r>
      <w:r>
        <w:rPr>
          <w:rFonts w:hint="eastAsia"/>
          <w:sz w:val="24"/>
        </w:rPr>
        <w:t>之间，因此考虑其适应性，其重复性限</w:t>
      </w:r>
      <w:r>
        <w:rPr>
          <w:rFonts w:hint="eastAsia"/>
          <w:sz w:val="24"/>
        </w:rPr>
        <w:t>s</w:t>
      </w:r>
      <w:r>
        <w:rPr>
          <w:rFonts w:hint="eastAsia"/>
          <w:sz w:val="24"/>
        </w:rPr>
        <w:t>为</w:t>
      </w:r>
      <w:r>
        <w:rPr>
          <w:rFonts w:hint="eastAsia"/>
          <w:sz w:val="24"/>
        </w:rPr>
        <w:t>0.005%</w:t>
      </w:r>
      <w:r>
        <w:rPr>
          <w:rFonts w:hint="eastAsia"/>
          <w:sz w:val="24"/>
        </w:rPr>
        <w:t>。</w:t>
      </w:r>
    </w:p>
    <w:p w:rsidR="00570778" w:rsidRDefault="00D01B3C">
      <w:pPr>
        <w:spacing w:line="360" w:lineRule="auto"/>
        <w:rPr>
          <w:sz w:val="24"/>
        </w:rPr>
      </w:pPr>
      <w:r>
        <w:rPr>
          <w:rFonts w:hint="eastAsia"/>
          <w:sz w:val="24"/>
        </w:rPr>
        <w:t>4.</w:t>
      </w:r>
      <w:r>
        <w:rPr>
          <w:rFonts w:hint="eastAsia"/>
          <w:sz w:val="24"/>
        </w:rPr>
        <w:t>3</w:t>
      </w:r>
      <w:r>
        <w:rPr>
          <w:rFonts w:hint="eastAsia"/>
          <w:sz w:val="24"/>
        </w:rPr>
        <w:t>示值误差</w:t>
      </w:r>
    </w:p>
    <w:p w:rsidR="00570778" w:rsidRDefault="00D01B3C">
      <w:pPr>
        <w:spacing w:line="360" w:lineRule="auto"/>
        <w:ind w:firstLineChars="200" w:firstLine="480"/>
        <w:rPr>
          <w:sz w:val="24"/>
        </w:rPr>
      </w:pPr>
      <w:proofErr w:type="gramStart"/>
      <w:r>
        <w:rPr>
          <w:rFonts w:hint="eastAsia"/>
          <w:sz w:val="24"/>
        </w:rPr>
        <w:t>取氟</w:t>
      </w:r>
      <w:r>
        <w:rPr>
          <w:rFonts w:hint="eastAsia"/>
          <w:sz w:val="24"/>
        </w:rPr>
        <w:t>/</w:t>
      </w:r>
      <w:proofErr w:type="gramEnd"/>
      <w:r>
        <w:rPr>
          <w:rFonts w:hint="eastAsia"/>
          <w:sz w:val="24"/>
        </w:rPr>
        <w:t>氯含量范围分别为高、中、低三种示值的标准物质，进行</w:t>
      </w:r>
      <w:r>
        <w:rPr>
          <w:rFonts w:hint="eastAsia"/>
          <w:sz w:val="24"/>
        </w:rPr>
        <w:t>2</w:t>
      </w:r>
      <w:r>
        <w:rPr>
          <w:rFonts w:hint="eastAsia"/>
          <w:sz w:val="24"/>
        </w:rPr>
        <w:t>次测定，计算出平均值，平均值与标准值之差为示值误差。</w:t>
      </w:r>
      <w:bookmarkStart w:id="0" w:name="_GoBack"/>
      <w:bookmarkEnd w:id="0"/>
    </w:p>
    <w:p w:rsidR="00D111C2" w:rsidRDefault="00D111C2" w:rsidP="00D111C2">
      <w:pPr>
        <w:spacing w:line="360" w:lineRule="auto"/>
        <w:ind w:firstLineChars="200" w:firstLine="480"/>
        <w:rPr>
          <w:sz w:val="24"/>
        </w:rPr>
      </w:pPr>
      <w:r>
        <w:rPr>
          <w:rFonts w:hint="eastAsia"/>
          <w:sz w:val="24"/>
        </w:rPr>
        <w:t>仪器的示值误差表征的是，被校准氟、氯测定仪测量同一种标准物质时重复测量的平均值与标准物质的标准值间的一致程度，体现了测试结果的准确程度。由于在</w:t>
      </w:r>
      <w:r>
        <w:rPr>
          <w:rFonts w:hint="eastAsia"/>
          <w:b/>
          <w:bCs/>
          <w:sz w:val="24"/>
        </w:rPr>
        <w:t>《</w:t>
      </w:r>
      <w:r>
        <w:rPr>
          <w:sz w:val="24"/>
        </w:rPr>
        <w:t xml:space="preserve">GB/T </w:t>
      </w:r>
      <w:r>
        <w:rPr>
          <w:rFonts w:hint="eastAsia"/>
          <w:sz w:val="24"/>
        </w:rPr>
        <w:t>3558-2014</w:t>
      </w:r>
      <w:r>
        <w:rPr>
          <w:rFonts w:hint="eastAsia"/>
          <w:sz w:val="24"/>
        </w:rPr>
        <w:t>煤中氯的测定方法</w:t>
      </w:r>
      <w:r>
        <w:rPr>
          <w:rFonts w:hint="eastAsia"/>
          <w:b/>
          <w:bCs/>
          <w:sz w:val="24"/>
        </w:rPr>
        <w:t>》</w:t>
      </w:r>
      <w:r>
        <w:rPr>
          <w:rFonts w:hint="eastAsia"/>
          <w:sz w:val="24"/>
        </w:rPr>
        <w:t>，《</w:t>
      </w:r>
      <w:r>
        <w:rPr>
          <w:sz w:val="24"/>
        </w:rPr>
        <w:t xml:space="preserve">GB/T </w:t>
      </w:r>
      <w:r>
        <w:rPr>
          <w:rFonts w:hint="eastAsia"/>
          <w:sz w:val="24"/>
        </w:rPr>
        <w:t>4633-2014</w:t>
      </w:r>
      <w:r>
        <w:rPr>
          <w:rFonts w:hint="eastAsia"/>
          <w:sz w:val="24"/>
        </w:rPr>
        <w:t>煤中氟的测定方法》中，值给出仪器的测量再现性指标。我们根据大量试验数据和仪器对标准物质试验的结果确定仪器的示值误差。</w:t>
      </w:r>
    </w:p>
    <w:p w:rsidR="00D111C2" w:rsidRDefault="00D111C2" w:rsidP="00D111C2">
      <w:pPr>
        <w:pStyle w:val="ab"/>
        <w:snapToGrid/>
        <w:spacing w:line="360" w:lineRule="auto"/>
        <w:ind w:firstLine="480"/>
        <w:rPr>
          <w:rFonts w:ascii="Times New Roman" w:hAnsi="Times New Roman" w:cs="Times New Roman"/>
          <w:color w:val="auto"/>
          <w:spacing w:val="0"/>
          <w:kern w:val="2"/>
          <w:szCs w:val="24"/>
        </w:rPr>
      </w:pPr>
      <w:proofErr w:type="gramStart"/>
      <w:r>
        <w:rPr>
          <w:rFonts w:ascii="Times New Roman" w:hAnsi="Times New Roman" w:cs="Times New Roman" w:hint="eastAsia"/>
          <w:color w:val="auto"/>
          <w:spacing w:val="0"/>
          <w:kern w:val="2"/>
          <w:szCs w:val="24"/>
        </w:rPr>
        <w:t>取氟</w:t>
      </w:r>
      <w:r>
        <w:rPr>
          <w:rFonts w:ascii="Times New Roman" w:hAnsi="Times New Roman" w:cs="Times New Roman" w:hint="eastAsia"/>
          <w:color w:val="auto"/>
          <w:spacing w:val="0"/>
          <w:kern w:val="2"/>
          <w:szCs w:val="24"/>
        </w:rPr>
        <w:t>/</w:t>
      </w:r>
      <w:proofErr w:type="gramEnd"/>
      <w:r>
        <w:rPr>
          <w:rFonts w:ascii="Times New Roman" w:hAnsi="Times New Roman" w:cs="Times New Roman" w:hint="eastAsia"/>
          <w:color w:val="auto"/>
          <w:spacing w:val="0"/>
          <w:kern w:val="2"/>
          <w:szCs w:val="24"/>
        </w:rPr>
        <w:t>氯含量范围分别为高、中、低三种示值的标准物质，进行</w:t>
      </w:r>
      <w:r>
        <w:rPr>
          <w:rFonts w:ascii="Times New Roman" w:hAnsi="Times New Roman" w:cs="Times New Roman" w:hint="eastAsia"/>
          <w:color w:val="auto"/>
          <w:spacing w:val="0"/>
          <w:kern w:val="2"/>
          <w:szCs w:val="24"/>
        </w:rPr>
        <w:t>2</w:t>
      </w:r>
      <w:r>
        <w:rPr>
          <w:rFonts w:ascii="Times New Roman" w:hAnsi="Times New Roman" w:cs="Times New Roman" w:hint="eastAsia"/>
          <w:color w:val="auto"/>
          <w:spacing w:val="0"/>
          <w:kern w:val="2"/>
          <w:szCs w:val="24"/>
        </w:rPr>
        <w:t>次测定，计算出平均值，平均值与标准值之差为示值误差，计算如下：</w:t>
      </w:r>
    </w:p>
    <w:p w:rsidR="00D111C2" w:rsidRDefault="00D111C2" w:rsidP="00D111C2">
      <w:pPr>
        <w:pStyle w:val="ab"/>
        <w:snapToGrid/>
        <w:spacing w:line="360" w:lineRule="auto"/>
        <w:ind w:firstLine="480"/>
        <w:jc w:val="center"/>
        <w:rPr>
          <w:rFonts w:ascii="Times New Roman" w:hAnsi="Times New Roman" w:cs="Times New Roman"/>
          <w:color w:val="auto"/>
          <w:spacing w:val="0"/>
          <w:kern w:val="2"/>
          <w:szCs w:val="24"/>
        </w:rPr>
      </w:pPr>
      <w:r w:rsidRPr="00D85DF7">
        <w:rPr>
          <w:rFonts w:ascii="Times New Roman" w:hAnsi="Times New Roman" w:cs="Times New Roman" w:hint="eastAsia"/>
          <w:color w:val="auto"/>
          <w:spacing w:val="0"/>
          <w:kern w:val="2"/>
          <w:szCs w:val="24"/>
        </w:rPr>
        <w:object w:dxaOrig="116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05pt;height:15.05pt" o:ole="">
            <v:imagedata r:id="rId16" o:title=""/>
          </v:shape>
          <o:OLEObject Type="Embed" ProgID="Equation.3" ShapeID="_x0000_i1025" DrawAspect="Content" ObjectID="_1601724129" r:id="rId17"/>
        </w:object>
      </w:r>
      <w:r>
        <w:rPr>
          <w:rFonts w:ascii="Times New Roman" w:hAnsi="Times New Roman" w:cs="Times New Roman" w:hint="eastAsia"/>
          <w:color w:val="auto"/>
          <w:spacing w:val="0"/>
          <w:kern w:val="2"/>
          <w:szCs w:val="24"/>
        </w:rPr>
        <w:t xml:space="preserve">          </w:t>
      </w:r>
      <w:r>
        <w:rPr>
          <w:rFonts w:ascii="Times New Roman" w:hAnsi="Times New Roman" w:cs="Times New Roman" w:hint="eastAsia"/>
          <w:color w:val="auto"/>
          <w:spacing w:val="0"/>
          <w:kern w:val="2"/>
          <w:szCs w:val="24"/>
        </w:rPr>
        <w:t>（</w:t>
      </w:r>
      <w:r>
        <w:rPr>
          <w:rFonts w:ascii="Times New Roman" w:hAnsi="Times New Roman" w:cs="Times New Roman" w:hint="eastAsia"/>
          <w:color w:val="auto"/>
          <w:spacing w:val="0"/>
          <w:kern w:val="2"/>
          <w:szCs w:val="24"/>
        </w:rPr>
        <w:t>2</w:t>
      </w:r>
      <w:r>
        <w:rPr>
          <w:rFonts w:ascii="Times New Roman" w:hAnsi="Times New Roman" w:cs="Times New Roman" w:hint="eastAsia"/>
          <w:color w:val="auto"/>
          <w:spacing w:val="0"/>
          <w:kern w:val="2"/>
          <w:szCs w:val="24"/>
        </w:rPr>
        <w:t>）</w:t>
      </w:r>
    </w:p>
    <w:p w:rsidR="00D111C2" w:rsidRDefault="00D111C2" w:rsidP="00D111C2">
      <w:pPr>
        <w:pStyle w:val="ab"/>
        <w:snapToGrid/>
        <w:spacing w:line="360" w:lineRule="auto"/>
        <w:ind w:firstLine="480"/>
        <w:rPr>
          <w:rFonts w:ascii="Times New Roman" w:hAnsi="Times New Roman" w:cs="Times New Roman"/>
          <w:color w:val="auto"/>
          <w:spacing w:val="0"/>
          <w:kern w:val="2"/>
          <w:szCs w:val="24"/>
        </w:rPr>
      </w:pPr>
      <w:r>
        <w:rPr>
          <w:rFonts w:ascii="Times New Roman" w:hAnsi="Times New Roman" w:cs="Times New Roman" w:hint="eastAsia"/>
          <w:color w:val="auto"/>
          <w:spacing w:val="0"/>
          <w:kern w:val="2"/>
          <w:szCs w:val="24"/>
        </w:rPr>
        <w:lastRenderedPageBreak/>
        <w:t>式中：</w:t>
      </w:r>
    </w:p>
    <w:p w:rsidR="00D111C2" w:rsidRDefault="00D111C2" w:rsidP="00D111C2">
      <w:pPr>
        <w:pStyle w:val="ab"/>
        <w:snapToGrid/>
        <w:spacing w:line="360" w:lineRule="auto"/>
        <w:ind w:firstLine="480"/>
        <w:rPr>
          <w:rFonts w:ascii="Times New Roman" w:hAnsi="Times New Roman" w:cs="Times New Roman"/>
          <w:color w:val="auto"/>
          <w:spacing w:val="0"/>
          <w:kern w:val="2"/>
          <w:szCs w:val="24"/>
        </w:rPr>
      </w:pPr>
      <w:r w:rsidRPr="00D85DF7">
        <w:rPr>
          <w:rFonts w:ascii="Times New Roman" w:hAnsi="Times New Roman" w:cs="Times New Roman" w:hint="eastAsia"/>
          <w:color w:val="auto"/>
          <w:spacing w:val="0"/>
          <w:kern w:val="2"/>
          <w:szCs w:val="24"/>
        </w:rPr>
        <w:object w:dxaOrig="380" w:dyaOrig="260">
          <v:shape id="_x0000_i1026" type="#_x0000_t75" style="width:19.35pt;height:11.8pt" o:ole="">
            <v:imagedata r:id="rId18" o:title=""/>
          </v:shape>
          <o:OLEObject Type="Embed" ProgID="Equation.3" ShapeID="_x0000_i1026" DrawAspect="Content" ObjectID="_1601724130" r:id="rId19"/>
        </w:object>
      </w:r>
      <w:r>
        <w:rPr>
          <w:rFonts w:ascii="Times New Roman" w:hAnsi="Times New Roman" w:cs="Times New Roman" w:hint="eastAsia"/>
          <w:color w:val="auto"/>
          <w:spacing w:val="0"/>
          <w:kern w:val="2"/>
          <w:szCs w:val="24"/>
        </w:rPr>
        <w:t>-----</w:t>
      </w:r>
      <w:r>
        <w:rPr>
          <w:rFonts w:ascii="Times New Roman" w:hAnsi="Times New Roman" w:cs="Times New Roman" w:hint="eastAsia"/>
          <w:color w:val="auto"/>
          <w:spacing w:val="0"/>
          <w:kern w:val="2"/>
          <w:szCs w:val="24"/>
        </w:rPr>
        <w:t>示值误差，</w:t>
      </w:r>
      <w:r>
        <w:rPr>
          <w:rFonts w:ascii="Times New Roman" w:hAnsi="Times New Roman" w:cs="Times New Roman" w:hint="eastAsia"/>
          <w:color w:val="auto"/>
          <w:spacing w:val="0"/>
          <w:kern w:val="2"/>
          <w:szCs w:val="24"/>
        </w:rPr>
        <w:t>%</w:t>
      </w:r>
      <w:r>
        <w:rPr>
          <w:rFonts w:ascii="Times New Roman" w:hAnsi="Times New Roman" w:cs="Times New Roman" w:hint="eastAsia"/>
          <w:color w:val="auto"/>
          <w:spacing w:val="0"/>
          <w:kern w:val="2"/>
          <w:szCs w:val="24"/>
        </w:rPr>
        <w:t>；</w:t>
      </w:r>
    </w:p>
    <w:p w:rsidR="00D111C2" w:rsidRDefault="00D111C2" w:rsidP="00D111C2">
      <w:pPr>
        <w:pStyle w:val="ab"/>
        <w:snapToGrid/>
        <w:spacing w:line="360" w:lineRule="auto"/>
        <w:ind w:firstLine="480"/>
        <w:rPr>
          <w:rFonts w:ascii="Times New Roman" w:hAnsi="Times New Roman" w:cs="Times New Roman"/>
          <w:color w:val="auto"/>
          <w:spacing w:val="0"/>
          <w:kern w:val="2"/>
          <w:szCs w:val="24"/>
        </w:rPr>
      </w:pPr>
      <w:r w:rsidRPr="00D85DF7">
        <w:rPr>
          <w:rFonts w:ascii="Times New Roman" w:hAnsi="Times New Roman" w:cs="Times New Roman" w:hint="eastAsia"/>
          <w:color w:val="auto"/>
          <w:spacing w:val="0"/>
          <w:kern w:val="2"/>
          <w:szCs w:val="24"/>
        </w:rPr>
        <w:object w:dxaOrig="240" w:dyaOrig="300">
          <v:shape id="_x0000_i1027" type="#_x0000_t75" style="width:11.8pt;height:15.05pt" o:ole="">
            <v:imagedata r:id="rId20" o:title=""/>
          </v:shape>
          <o:OLEObject Type="Embed" ProgID="Equation.3" ShapeID="_x0000_i1027" DrawAspect="Content" ObjectID="_1601724131" r:id="rId21"/>
        </w:object>
      </w:r>
      <w:r>
        <w:rPr>
          <w:rFonts w:ascii="Times New Roman" w:hAnsi="Times New Roman" w:cs="Times New Roman" w:hint="eastAsia"/>
          <w:color w:val="auto"/>
          <w:spacing w:val="0"/>
          <w:kern w:val="2"/>
          <w:szCs w:val="24"/>
        </w:rPr>
        <w:t>-------2</w:t>
      </w:r>
      <w:r>
        <w:rPr>
          <w:rFonts w:ascii="Times New Roman" w:hAnsi="Times New Roman" w:cs="Times New Roman" w:hint="eastAsia"/>
          <w:color w:val="auto"/>
          <w:spacing w:val="0"/>
          <w:kern w:val="2"/>
          <w:szCs w:val="24"/>
        </w:rPr>
        <w:t>次测量的平均值，（</w:t>
      </w:r>
      <w:proofErr w:type="gramStart"/>
      <w:r>
        <w:rPr>
          <w:rFonts w:ascii="Times New Roman" w:hAnsi="Times New Roman" w:cs="Times New Roman" w:hint="eastAsia"/>
          <w:color w:val="auto"/>
          <w:spacing w:val="0"/>
          <w:kern w:val="2"/>
          <w:szCs w:val="24"/>
        </w:rPr>
        <w:t>测氟时</w:t>
      </w:r>
      <w:proofErr w:type="gramEnd"/>
      <w:r>
        <w:rPr>
          <w:rFonts w:ascii="Times New Roman" w:hAnsi="Times New Roman" w:cs="Times New Roman" w:hint="eastAsia"/>
          <w:color w:val="auto"/>
          <w:spacing w:val="0"/>
          <w:kern w:val="2"/>
          <w:szCs w:val="24"/>
        </w:rPr>
        <w:t>单位为μ</w:t>
      </w:r>
      <w:r>
        <w:rPr>
          <w:rFonts w:ascii="Times New Roman" w:hAnsi="Times New Roman" w:cs="Times New Roman" w:hint="eastAsia"/>
          <w:color w:val="auto"/>
          <w:spacing w:val="0"/>
          <w:kern w:val="2"/>
          <w:szCs w:val="24"/>
        </w:rPr>
        <w:t>g/g</w:t>
      </w:r>
      <w:r>
        <w:rPr>
          <w:rFonts w:ascii="Times New Roman" w:hAnsi="Times New Roman" w:cs="Times New Roman" w:hint="eastAsia"/>
          <w:color w:val="auto"/>
          <w:spacing w:val="0"/>
          <w:kern w:val="2"/>
          <w:szCs w:val="24"/>
        </w:rPr>
        <w:t>，</w:t>
      </w:r>
      <w:proofErr w:type="gramStart"/>
      <w:r>
        <w:rPr>
          <w:rFonts w:ascii="Times New Roman" w:hAnsi="Times New Roman" w:cs="Times New Roman" w:hint="eastAsia"/>
          <w:color w:val="auto"/>
          <w:spacing w:val="0"/>
          <w:kern w:val="2"/>
          <w:szCs w:val="24"/>
        </w:rPr>
        <w:t>测氯是</w:t>
      </w:r>
      <w:proofErr w:type="gramEnd"/>
      <w:r>
        <w:rPr>
          <w:rFonts w:ascii="Times New Roman" w:hAnsi="Times New Roman" w:cs="Times New Roman" w:hint="eastAsia"/>
          <w:color w:val="auto"/>
          <w:spacing w:val="0"/>
          <w:kern w:val="2"/>
          <w:szCs w:val="24"/>
        </w:rPr>
        <w:t>单位为</w:t>
      </w:r>
      <w:r>
        <w:rPr>
          <w:rFonts w:ascii="Times New Roman" w:hAnsi="Times New Roman" w:cs="Times New Roman" w:hint="eastAsia"/>
          <w:color w:val="auto"/>
          <w:spacing w:val="0"/>
          <w:kern w:val="2"/>
          <w:szCs w:val="24"/>
        </w:rPr>
        <w:t>%</w:t>
      </w:r>
      <w:r>
        <w:rPr>
          <w:rFonts w:ascii="Times New Roman" w:hAnsi="Times New Roman" w:cs="Times New Roman" w:hint="eastAsia"/>
          <w:color w:val="auto"/>
          <w:spacing w:val="0"/>
          <w:kern w:val="2"/>
          <w:szCs w:val="24"/>
        </w:rPr>
        <w:t>）；</w:t>
      </w:r>
    </w:p>
    <w:p w:rsidR="00D111C2" w:rsidRDefault="00D111C2" w:rsidP="00D111C2">
      <w:pPr>
        <w:pStyle w:val="ab"/>
        <w:snapToGrid/>
        <w:spacing w:line="360" w:lineRule="auto"/>
        <w:ind w:firstLine="480"/>
        <w:rPr>
          <w:rFonts w:ascii="Times New Roman" w:hAnsi="Times New Roman" w:cs="Times New Roman"/>
          <w:color w:val="auto"/>
          <w:spacing w:val="0"/>
          <w:kern w:val="2"/>
          <w:szCs w:val="24"/>
        </w:rPr>
      </w:pPr>
      <w:r w:rsidRPr="00D85DF7">
        <w:rPr>
          <w:rFonts w:ascii="Times New Roman" w:hAnsi="Times New Roman" w:cs="Times New Roman" w:hint="eastAsia"/>
          <w:color w:val="auto"/>
          <w:spacing w:val="0"/>
          <w:kern w:val="2"/>
          <w:szCs w:val="24"/>
        </w:rPr>
        <w:object w:dxaOrig="220" w:dyaOrig="260">
          <v:shape id="_x0000_i1028" type="#_x0000_t75" style="width:11.3pt;height:11.8pt" o:ole="">
            <v:imagedata r:id="rId22" o:title=""/>
          </v:shape>
          <o:OLEObject Type="Embed" ProgID="Equation.3" ShapeID="_x0000_i1028" DrawAspect="Content" ObjectID="_1601724132" r:id="rId23"/>
        </w:object>
      </w:r>
      <w:r>
        <w:rPr>
          <w:rFonts w:ascii="Times New Roman" w:hAnsi="Times New Roman" w:cs="Times New Roman" w:hint="eastAsia"/>
          <w:color w:val="auto"/>
          <w:spacing w:val="0"/>
          <w:kern w:val="2"/>
          <w:szCs w:val="24"/>
        </w:rPr>
        <w:t>-------</w:t>
      </w:r>
      <w:r>
        <w:rPr>
          <w:rFonts w:ascii="Times New Roman" w:hAnsi="Times New Roman" w:cs="Times New Roman" w:hint="eastAsia"/>
          <w:color w:val="auto"/>
          <w:spacing w:val="0"/>
          <w:kern w:val="2"/>
          <w:szCs w:val="24"/>
        </w:rPr>
        <w:t>标准值，（</w:t>
      </w:r>
      <w:proofErr w:type="gramStart"/>
      <w:r>
        <w:rPr>
          <w:rFonts w:ascii="Times New Roman" w:hAnsi="Times New Roman" w:cs="Times New Roman" w:hint="eastAsia"/>
          <w:color w:val="auto"/>
          <w:spacing w:val="0"/>
          <w:kern w:val="2"/>
          <w:szCs w:val="24"/>
        </w:rPr>
        <w:t>测氟时</w:t>
      </w:r>
      <w:proofErr w:type="gramEnd"/>
      <w:r>
        <w:rPr>
          <w:rFonts w:ascii="Times New Roman" w:hAnsi="Times New Roman" w:cs="Times New Roman" w:hint="eastAsia"/>
          <w:color w:val="auto"/>
          <w:spacing w:val="0"/>
          <w:kern w:val="2"/>
          <w:szCs w:val="24"/>
        </w:rPr>
        <w:t>单位为μ</w:t>
      </w:r>
      <w:r>
        <w:rPr>
          <w:rFonts w:ascii="Times New Roman" w:hAnsi="Times New Roman" w:cs="Times New Roman" w:hint="eastAsia"/>
          <w:color w:val="auto"/>
          <w:spacing w:val="0"/>
          <w:kern w:val="2"/>
          <w:szCs w:val="24"/>
        </w:rPr>
        <w:t>g/g</w:t>
      </w:r>
      <w:r>
        <w:rPr>
          <w:rFonts w:ascii="Times New Roman" w:hAnsi="Times New Roman" w:cs="Times New Roman" w:hint="eastAsia"/>
          <w:color w:val="auto"/>
          <w:spacing w:val="0"/>
          <w:kern w:val="2"/>
          <w:szCs w:val="24"/>
        </w:rPr>
        <w:t>，</w:t>
      </w:r>
      <w:proofErr w:type="gramStart"/>
      <w:r>
        <w:rPr>
          <w:rFonts w:ascii="Times New Roman" w:hAnsi="Times New Roman" w:cs="Times New Roman" w:hint="eastAsia"/>
          <w:color w:val="auto"/>
          <w:spacing w:val="0"/>
          <w:kern w:val="2"/>
          <w:szCs w:val="24"/>
        </w:rPr>
        <w:t>测氯是</w:t>
      </w:r>
      <w:proofErr w:type="gramEnd"/>
      <w:r>
        <w:rPr>
          <w:rFonts w:ascii="Times New Roman" w:hAnsi="Times New Roman" w:cs="Times New Roman" w:hint="eastAsia"/>
          <w:color w:val="auto"/>
          <w:spacing w:val="0"/>
          <w:kern w:val="2"/>
          <w:szCs w:val="24"/>
        </w:rPr>
        <w:t>单位为</w:t>
      </w:r>
      <w:r>
        <w:rPr>
          <w:rFonts w:ascii="Times New Roman" w:hAnsi="Times New Roman" w:cs="Times New Roman" w:hint="eastAsia"/>
          <w:color w:val="auto"/>
          <w:spacing w:val="0"/>
          <w:kern w:val="2"/>
          <w:szCs w:val="24"/>
        </w:rPr>
        <w:t>%</w:t>
      </w:r>
      <w:r>
        <w:rPr>
          <w:rFonts w:ascii="Times New Roman" w:hAnsi="Times New Roman" w:cs="Times New Roman" w:hint="eastAsia"/>
          <w:color w:val="auto"/>
          <w:spacing w:val="0"/>
          <w:kern w:val="2"/>
          <w:szCs w:val="24"/>
        </w:rPr>
        <w:t>）；</w:t>
      </w:r>
    </w:p>
    <w:p w:rsidR="00D111C2" w:rsidRDefault="00D111C2" w:rsidP="00D111C2">
      <w:pPr>
        <w:spacing w:line="360" w:lineRule="auto"/>
        <w:ind w:firstLineChars="200" w:firstLine="480"/>
        <w:rPr>
          <w:sz w:val="24"/>
        </w:rPr>
      </w:pPr>
      <w:r>
        <w:rPr>
          <w:rFonts w:hint="eastAsia"/>
          <w:sz w:val="24"/>
        </w:rPr>
        <w:t>表</w:t>
      </w:r>
      <w:r>
        <w:rPr>
          <w:rFonts w:hint="eastAsia"/>
          <w:sz w:val="24"/>
        </w:rPr>
        <w:t>4</w:t>
      </w:r>
      <w:r>
        <w:rPr>
          <w:rFonts w:hint="eastAsia"/>
          <w:sz w:val="24"/>
        </w:rPr>
        <w:t>为《煤中氟</w:t>
      </w:r>
      <w:r>
        <w:rPr>
          <w:rFonts w:hint="eastAsia"/>
          <w:sz w:val="24"/>
        </w:rPr>
        <w:t>/</w:t>
      </w:r>
      <w:r>
        <w:rPr>
          <w:rFonts w:hint="eastAsia"/>
          <w:sz w:val="24"/>
        </w:rPr>
        <w:t>氯测定仪校准规范》示值误差限值表，其限值以最大允许误差衡量。</w:t>
      </w:r>
    </w:p>
    <w:p w:rsidR="00D111C2" w:rsidRDefault="00D111C2" w:rsidP="00D111C2">
      <w:pPr>
        <w:spacing w:line="360" w:lineRule="auto"/>
        <w:ind w:firstLineChars="200" w:firstLine="420"/>
        <w:jc w:val="center"/>
        <w:rPr>
          <w:szCs w:val="21"/>
        </w:rPr>
      </w:pPr>
      <w:r>
        <w:rPr>
          <w:rFonts w:hint="eastAsia"/>
          <w:szCs w:val="21"/>
        </w:rPr>
        <w:t>表</w:t>
      </w:r>
      <w:r>
        <w:rPr>
          <w:rFonts w:hint="eastAsia"/>
          <w:szCs w:val="21"/>
        </w:rPr>
        <w:t>4</w:t>
      </w:r>
      <w:r>
        <w:rPr>
          <w:rFonts w:hint="eastAsia"/>
          <w:szCs w:val="21"/>
        </w:rPr>
        <w:t>校准规范中示值误差限值</w:t>
      </w:r>
    </w:p>
    <w:tbl>
      <w:tblPr>
        <w:tblW w:w="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69"/>
        <w:gridCol w:w="2341"/>
        <w:gridCol w:w="2378"/>
      </w:tblGrid>
      <w:tr w:rsidR="00D111C2" w:rsidTr="00624AF8">
        <w:trPr>
          <w:trHeight w:val="285"/>
          <w:jc w:val="center"/>
        </w:trPr>
        <w:tc>
          <w:tcPr>
            <w:tcW w:w="869" w:type="dxa"/>
          </w:tcPr>
          <w:p w:rsidR="00D111C2" w:rsidRDefault="00D111C2" w:rsidP="00624AF8">
            <w:pPr>
              <w:pStyle w:val="Default"/>
              <w:jc w:val="center"/>
              <w:rPr>
                <w:rFonts w:hAnsi="宋体"/>
                <w:color w:val="auto"/>
                <w:sz w:val="21"/>
                <w:szCs w:val="21"/>
              </w:rPr>
            </w:pPr>
            <w:r>
              <w:rPr>
                <w:rFonts w:hAnsi="宋体" w:hint="eastAsia"/>
                <w:color w:val="auto"/>
                <w:sz w:val="21"/>
                <w:szCs w:val="21"/>
              </w:rPr>
              <w:t>项目</w:t>
            </w:r>
          </w:p>
        </w:tc>
        <w:tc>
          <w:tcPr>
            <w:tcW w:w="2341" w:type="dxa"/>
          </w:tcPr>
          <w:p w:rsidR="00D111C2" w:rsidRDefault="00D111C2" w:rsidP="00624AF8">
            <w:pPr>
              <w:pStyle w:val="Default"/>
              <w:jc w:val="center"/>
              <w:rPr>
                <w:rFonts w:hAnsi="宋体"/>
                <w:color w:val="auto"/>
                <w:sz w:val="21"/>
                <w:szCs w:val="21"/>
              </w:rPr>
            </w:pPr>
            <w:r>
              <w:rPr>
                <w:rFonts w:hAnsi="宋体" w:hint="eastAsia"/>
                <w:color w:val="auto"/>
                <w:sz w:val="21"/>
                <w:szCs w:val="21"/>
              </w:rPr>
              <w:t>范围</w:t>
            </w:r>
          </w:p>
        </w:tc>
        <w:tc>
          <w:tcPr>
            <w:tcW w:w="2378" w:type="dxa"/>
          </w:tcPr>
          <w:p w:rsidR="00D111C2" w:rsidRDefault="00D111C2" w:rsidP="00624AF8">
            <w:pPr>
              <w:pStyle w:val="Default"/>
              <w:jc w:val="center"/>
              <w:rPr>
                <w:rFonts w:hAnsi="宋体"/>
                <w:color w:val="auto"/>
                <w:sz w:val="21"/>
                <w:szCs w:val="21"/>
              </w:rPr>
            </w:pPr>
            <w:r>
              <w:rPr>
                <w:rFonts w:hAnsi="宋体" w:hint="eastAsia"/>
                <w:color w:val="auto"/>
                <w:sz w:val="21"/>
                <w:szCs w:val="21"/>
              </w:rPr>
              <w:t>最大允许误差</w:t>
            </w:r>
          </w:p>
        </w:tc>
      </w:tr>
      <w:tr w:rsidR="00D111C2" w:rsidTr="00624AF8">
        <w:trPr>
          <w:jc w:val="center"/>
        </w:trPr>
        <w:tc>
          <w:tcPr>
            <w:tcW w:w="869" w:type="dxa"/>
            <w:vMerge w:val="restart"/>
            <w:vAlign w:val="center"/>
          </w:tcPr>
          <w:p w:rsidR="00D111C2" w:rsidRDefault="00D111C2" w:rsidP="00624AF8">
            <w:pPr>
              <w:pStyle w:val="Default"/>
              <w:jc w:val="center"/>
              <w:rPr>
                <w:rFonts w:hAnsi="宋体"/>
                <w:color w:val="auto"/>
                <w:sz w:val="21"/>
                <w:szCs w:val="21"/>
              </w:rPr>
            </w:pPr>
            <w:r>
              <w:rPr>
                <w:rFonts w:hAnsi="宋体" w:hint="eastAsia"/>
                <w:color w:val="auto"/>
                <w:sz w:val="21"/>
                <w:szCs w:val="21"/>
              </w:rPr>
              <w:t>氟</w:t>
            </w:r>
          </w:p>
        </w:tc>
        <w:tc>
          <w:tcPr>
            <w:tcW w:w="2341" w:type="dxa"/>
          </w:tcPr>
          <w:p w:rsidR="00D111C2" w:rsidRDefault="00D111C2" w:rsidP="00624AF8">
            <w:pPr>
              <w:pStyle w:val="Default"/>
              <w:jc w:val="center"/>
              <w:rPr>
                <w:rFonts w:hAnsi="宋体"/>
                <w:color w:val="auto"/>
                <w:sz w:val="21"/>
                <w:szCs w:val="21"/>
              </w:rPr>
            </w:pPr>
            <w:r>
              <w:rPr>
                <w:rFonts w:hAnsi="宋体" w:hint="eastAsia"/>
                <w:color w:val="auto"/>
                <w:sz w:val="21"/>
                <w:szCs w:val="21"/>
              </w:rPr>
              <w:t>（50 ～ 400）μg/g</w:t>
            </w:r>
          </w:p>
        </w:tc>
        <w:tc>
          <w:tcPr>
            <w:tcW w:w="2378" w:type="dxa"/>
          </w:tcPr>
          <w:p w:rsidR="00D111C2" w:rsidRDefault="00D111C2" w:rsidP="00624AF8">
            <w:pPr>
              <w:pStyle w:val="Default"/>
              <w:jc w:val="center"/>
              <w:rPr>
                <w:rFonts w:hAnsi="宋体"/>
                <w:color w:val="auto"/>
                <w:sz w:val="21"/>
                <w:szCs w:val="21"/>
              </w:rPr>
            </w:pPr>
            <w:r>
              <w:rPr>
                <w:rFonts w:hAnsi="宋体" w:hint="eastAsia"/>
                <w:color w:val="auto"/>
                <w:sz w:val="21"/>
                <w:szCs w:val="21"/>
              </w:rPr>
              <w:t>±20μg/g</w:t>
            </w:r>
          </w:p>
        </w:tc>
      </w:tr>
      <w:tr w:rsidR="00D111C2" w:rsidTr="00624AF8">
        <w:trPr>
          <w:trHeight w:val="248"/>
          <w:jc w:val="center"/>
        </w:trPr>
        <w:tc>
          <w:tcPr>
            <w:tcW w:w="869" w:type="dxa"/>
            <w:vMerge/>
            <w:vAlign w:val="center"/>
          </w:tcPr>
          <w:p w:rsidR="00D111C2" w:rsidRDefault="00D111C2" w:rsidP="00624AF8">
            <w:pPr>
              <w:pStyle w:val="Default"/>
              <w:jc w:val="center"/>
              <w:rPr>
                <w:rFonts w:hAnsi="宋体"/>
                <w:color w:val="auto"/>
                <w:sz w:val="21"/>
                <w:szCs w:val="21"/>
              </w:rPr>
            </w:pPr>
          </w:p>
        </w:tc>
        <w:tc>
          <w:tcPr>
            <w:tcW w:w="2341" w:type="dxa"/>
          </w:tcPr>
          <w:p w:rsidR="00D111C2" w:rsidRDefault="00D111C2" w:rsidP="00624AF8">
            <w:pPr>
              <w:pStyle w:val="Default"/>
              <w:jc w:val="center"/>
              <w:rPr>
                <w:rFonts w:hAnsi="宋体"/>
                <w:color w:val="auto"/>
                <w:sz w:val="21"/>
                <w:szCs w:val="21"/>
              </w:rPr>
            </w:pPr>
            <w:r>
              <w:rPr>
                <w:rFonts w:hAnsi="宋体" w:hint="eastAsia"/>
                <w:color w:val="auto"/>
                <w:sz w:val="21"/>
                <w:szCs w:val="21"/>
              </w:rPr>
              <w:t>（400 ～ 2000）μg/g</w:t>
            </w:r>
          </w:p>
        </w:tc>
        <w:tc>
          <w:tcPr>
            <w:tcW w:w="2378" w:type="dxa"/>
          </w:tcPr>
          <w:p w:rsidR="00D111C2" w:rsidRDefault="00D111C2" w:rsidP="00624AF8">
            <w:pPr>
              <w:pStyle w:val="Default"/>
              <w:jc w:val="center"/>
              <w:rPr>
                <w:rFonts w:hAnsi="宋体"/>
                <w:color w:val="auto"/>
                <w:sz w:val="21"/>
                <w:szCs w:val="21"/>
              </w:rPr>
            </w:pPr>
            <w:r>
              <w:rPr>
                <w:rFonts w:hAnsi="宋体" w:hint="eastAsia"/>
                <w:color w:val="auto"/>
                <w:sz w:val="21"/>
                <w:szCs w:val="21"/>
              </w:rPr>
              <w:t>±5%（相对）</w:t>
            </w:r>
          </w:p>
        </w:tc>
      </w:tr>
      <w:tr w:rsidR="00D111C2" w:rsidTr="00624AF8">
        <w:trPr>
          <w:trHeight w:val="267"/>
          <w:jc w:val="center"/>
        </w:trPr>
        <w:tc>
          <w:tcPr>
            <w:tcW w:w="869" w:type="dxa"/>
            <w:vMerge w:val="restart"/>
            <w:vAlign w:val="center"/>
          </w:tcPr>
          <w:p w:rsidR="00D111C2" w:rsidRDefault="00D111C2" w:rsidP="00624AF8">
            <w:pPr>
              <w:pStyle w:val="Default"/>
              <w:jc w:val="center"/>
              <w:rPr>
                <w:rFonts w:hAnsi="宋体"/>
                <w:color w:val="auto"/>
                <w:sz w:val="21"/>
                <w:szCs w:val="21"/>
              </w:rPr>
            </w:pPr>
            <w:r>
              <w:rPr>
                <w:rFonts w:hAnsi="宋体" w:hint="eastAsia"/>
                <w:color w:val="auto"/>
                <w:sz w:val="21"/>
                <w:szCs w:val="21"/>
              </w:rPr>
              <w:t>氯</w:t>
            </w:r>
          </w:p>
        </w:tc>
        <w:tc>
          <w:tcPr>
            <w:tcW w:w="2341" w:type="dxa"/>
          </w:tcPr>
          <w:p w:rsidR="00D111C2" w:rsidRDefault="00D111C2" w:rsidP="00624AF8">
            <w:pPr>
              <w:pStyle w:val="Default"/>
              <w:jc w:val="both"/>
              <w:rPr>
                <w:rFonts w:hAnsi="宋体"/>
                <w:color w:val="auto"/>
                <w:sz w:val="21"/>
                <w:szCs w:val="21"/>
              </w:rPr>
            </w:pPr>
            <w:r>
              <w:rPr>
                <w:rFonts w:hAnsi="宋体" w:hint="eastAsia"/>
                <w:color w:val="auto"/>
                <w:sz w:val="21"/>
                <w:szCs w:val="21"/>
              </w:rPr>
              <w:t>（0.010～0.050）%</w:t>
            </w:r>
          </w:p>
        </w:tc>
        <w:tc>
          <w:tcPr>
            <w:tcW w:w="2378" w:type="dxa"/>
          </w:tcPr>
          <w:p w:rsidR="00D111C2" w:rsidRDefault="00D111C2" w:rsidP="00624AF8">
            <w:pPr>
              <w:pStyle w:val="Default"/>
              <w:jc w:val="center"/>
              <w:rPr>
                <w:rFonts w:hAnsi="宋体"/>
                <w:color w:val="auto"/>
                <w:sz w:val="21"/>
                <w:szCs w:val="21"/>
              </w:rPr>
            </w:pPr>
            <w:r>
              <w:rPr>
                <w:rFonts w:hAnsi="宋体" w:hint="eastAsia"/>
                <w:color w:val="auto"/>
                <w:sz w:val="21"/>
                <w:szCs w:val="21"/>
              </w:rPr>
              <w:t>±0.005%</w:t>
            </w:r>
          </w:p>
        </w:tc>
      </w:tr>
      <w:tr w:rsidR="00D111C2" w:rsidTr="00624AF8">
        <w:trPr>
          <w:trHeight w:val="266"/>
          <w:jc w:val="center"/>
        </w:trPr>
        <w:tc>
          <w:tcPr>
            <w:tcW w:w="869" w:type="dxa"/>
            <w:vMerge/>
          </w:tcPr>
          <w:p w:rsidR="00D111C2" w:rsidRDefault="00D111C2" w:rsidP="00624AF8">
            <w:pPr>
              <w:pStyle w:val="Default"/>
              <w:jc w:val="both"/>
              <w:rPr>
                <w:rFonts w:hAnsi="宋体"/>
                <w:color w:val="auto"/>
                <w:sz w:val="21"/>
                <w:szCs w:val="21"/>
              </w:rPr>
            </w:pPr>
          </w:p>
        </w:tc>
        <w:tc>
          <w:tcPr>
            <w:tcW w:w="2341" w:type="dxa"/>
          </w:tcPr>
          <w:p w:rsidR="00D111C2" w:rsidRDefault="00D111C2" w:rsidP="00624AF8">
            <w:pPr>
              <w:pStyle w:val="Default"/>
              <w:jc w:val="both"/>
              <w:rPr>
                <w:rFonts w:hAnsi="宋体"/>
                <w:color w:val="auto"/>
                <w:sz w:val="21"/>
                <w:szCs w:val="21"/>
              </w:rPr>
            </w:pPr>
            <w:r>
              <w:rPr>
                <w:rFonts w:hAnsi="宋体" w:hint="eastAsia"/>
                <w:color w:val="auto"/>
                <w:sz w:val="21"/>
                <w:szCs w:val="21"/>
              </w:rPr>
              <w:t>（0.050～0.300）%</w:t>
            </w:r>
          </w:p>
        </w:tc>
        <w:tc>
          <w:tcPr>
            <w:tcW w:w="2378" w:type="dxa"/>
          </w:tcPr>
          <w:p w:rsidR="00D111C2" w:rsidRDefault="00D111C2" w:rsidP="00624AF8">
            <w:pPr>
              <w:pStyle w:val="Default"/>
              <w:jc w:val="center"/>
              <w:rPr>
                <w:rFonts w:hAnsi="宋体"/>
                <w:color w:val="auto"/>
                <w:sz w:val="21"/>
                <w:szCs w:val="21"/>
              </w:rPr>
            </w:pPr>
            <w:r>
              <w:rPr>
                <w:rFonts w:hAnsi="宋体" w:hint="eastAsia"/>
                <w:color w:val="auto"/>
                <w:sz w:val="21"/>
                <w:szCs w:val="21"/>
              </w:rPr>
              <w:t>±10%（相对）</w:t>
            </w:r>
          </w:p>
        </w:tc>
      </w:tr>
    </w:tbl>
    <w:p w:rsidR="00D111C2" w:rsidRDefault="00D111C2" w:rsidP="00D111C2">
      <w:pPr>
        <w:spacing w:line="360" w:lineRule="auto"/>
        <w:ind w:firstLineChars="250" w:firstLine="600"/>
        <w:rPr>
          <w:sz w:val="24"/>
        </w:rPr>
      </w:pPr>
      <w:r>
        <w:rPr>
          <w:rFonts w:hint="eastAsia"/>
          <w:sz w:val="24"/>
        </w:rPr>
        <w:t>参照《煤物理特性和化学成分分析标准物质认定证书有关问题的探讨》一文（杨华玉，</w:t>
      </w:r>
      <w:r>
        <w:rPr>
          <w:rFonts w:hint="eastAsia"/>
          <w:sz w:val="24"/>
        </w:rPr>
        <w:t>2014</w:t>
      </w:r>
      <w:r>
        <w:rPr>
          <w:rFonts w:hint="eastAsia"/>
          <w:sz w:val="24"/>
        </w:rPr>
        <w:t>年第二期，《煤质技术》）中关于标准物质的用户确定度可以近似为最大示值误差，文章摘要见图</w:t>
      </w:r>
      <w:r>
        <w:rPr>
          <w:rFonts w:hint="eastAsia"/>
          <w:sz w:val="24"/>
        </w:rPr>
        <w:t>2</w:t>
      </w:r>
    </w:p>
    <w:p w:rsidR="00D111C2" w:rsidRDefault="00D111C2" w:rsidP="00D111C2">
      <w:pPr>
        <w:spacing w:line="360" w:lineRule="auto"/>
        <w:jc w:val="center"/>
        <w:rPr>
          <w:szCs w:val="21"/>
        </w:rPr>
      </w:pPr>
      <w:r>
        <w:rPr>
          <w:rFonts w:hint="eastAsia"/>
          <w:szCs w:val="21"/>
        </w:rPr>
        <w:t>图</w:t>
      </w:r>
      <w:r>
        <w:rPr>
          <w:rFonts w:hint="eastAsia"/>
          <w:szCs w:val="21"/>
        </w:rPr>
        <w:t xml:space="preserve">2 </w:t>
      </w:r>
      <w:r>
        <w:rPr>
          <w:rFonts w:hint="eastAsia"/>
          <w:szCs w:val="21"/>
        </w:rPr>
        <w:t>标准物质的用户不确定度</w:t>
      </w:r>
    </w:p>
    <w:p w:rsidR="00D111C2" w:rsidRDefault="00D111C2" w:rsidP="00D111C2">
      <w:pPr>
        <w:spacing w:line="360" w:lineRule="auto"/>
        <w:jc w:val="center"/>
      </w:pPr>
      <w:r>
        <w:rPr>
          <w:noProof/>
        </w:rPr>
        <w:drawing>
          <wp:inline distT="0" distB="0" distL="114300" distR="114300">
            <wp:extent cx="3247390" cy="2933065"/>
            <wp:effectExtent l="0" t="0" r="10160" b="635"/>
            <wp:docPr id="3"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2"/>
                    <pic:cNvPicPr>
                      <a:picLocks noChangeAspect="1"/>
                    </pic:cNvPicPr>
                  </pic:nvPicPr>
                  <pic:blipFill>
                    <a:blip r:embed="rId24" cstate="print"/>
                    <a:stretch>
                      <a:fillRect/>
                    </a:stretch>
                  </pic:blipFill>
                  <pic:spPr>
                    <a:xfrm>
                      <a:off x="0" y="0"/>
                      <a:ext cx="3247390" cy="2933065"/>
                    </a:xfrm>
                    <a:prstGeom prst="rect">
                      <a:avLst/>
                    </a:prstGeom>
                    <a:noFill/>
                    <a:ln w="9525">
                      <a:noFill/>
                    </a:ln>
                  </pic:spPr>
                </pic:pic>
              </a:graphicData>
            </a:graphic>
          </wp:inline>
        </w:drawing>
      </w:r>
    </w:p>
    <w:p w:rsidR="00D111C2" w:rsidRDefault="00D111C2" w:rsidP="00D111C2">
      <w:pPr>
        <w:spacing w:line="360" w:lineRule="auto"/>
        <w:rPr>
          <w:sz w:val="24"/>
        </w:rPr>
      </w:pPr>
      <w:r>
        <w:rPr>
          <w:rFonts w:hint="eastAsia"/>
          <w:sz w:val="24"/>
        </w:rPr>
        <w:t>以此计算氟氯常用标准物质的用户扩展不确定度见表</w:t>
      </w:r>
      <w:r>
        <w:rPr>
          <w:rFonts w:hint="eastAsia"/>
          <w:sz w:val="24"/>
        </w:rPr>
        <w:t>5.</w:t>
      </w:r>
    </w:p>
    <w:p w:rsidR="00D111C2" w:rsidRDefault="00D111C2" w:rsidP="00D111C2">
      <w:pPr>
        <w:spacing w:line="360" w:lineRule="auto"/>
        <w:jc w:val="center"/>
      </w:pPr>
      <w:r>
        <w:rPr>
          <w:rFonts w:hint="eastAsia"/>
        </w:rPr>
        <w:t>表</w:t>
      </w:r>
      <w:r>
        <w:rPr>
          <w:rFonts w:hint="eastAsia"/>
        </w:rPr>
        <w:t>5</w:t>
      </w:r>
      <w:r>
        <w:rPr>
          <w:rFonts w:hint="eastAsia"/>
        </w:rPr>
        <w:t>氟氯常用标准物质的用户扩展不确定度</w:t>
      </w:r>
    </w:p>
    <w:tbl>
      <w:tblPr>
        <w:tblW w:w="6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tblPr>
      <w:tblGrid>
        <w:gridCol w:w="1079"/>
        <w:gridCol w:w="1079"/>
        <w:gridCol w:w="1126"/>
        <w:gridCol w:w="1625"/>
        <w:gridCol w:w="857"/>
        <w:gridCol w:w="1061"/>
      </w:tblGrid>
      <w:tr w:rsidR="00D111C2" w:rsidTr="00624AF8">
        <w:trPr>
          <w:trHeight w:val="283"/>
          <w:jc w:val="center"/>
        </w:trPr>
        <w:tc>
          <w:tcPr>
            <w:tcW w:w="1079" w:type="dxa"/>
            <w:tcBorders>
              <w:tl2br w:val="nil"/>
              <w:tr2bl w:val="nil"/>
            </w:tcBorders>
            <w:shd w:val="clear" w:color="auto" w:fill="auto"/>
            <w:vAlign w:val="bottom"/>
          </w:tcPr>
          <w:p w:rsidR="00D111C2" w:rsidRDefault="00D111C2" w:rsidP="00624AF8">
            <w:pPr>
              <w:widowControl/>
              <w:jc w:val="left"/>
              <w:textAlignment w:val="bottom"/>
              <w:rPr>
                <w:rFonts w:ascii="宋体" w:hAnsi="宋体" w:cs="宋体"/>
                <w:szCs w:val="21"/>
              </w:rPr>
            </w:pPr>
            <w:r>
              <w:rPr>
                <w:rFonts w:ascii="宋体" w:hAnsi="宋体" w:cs="宋体" w:hint="eastAsia"/>
                <w:kern w:val="0"/>
                <w:szCs w:val="21"/>
                <w:lang/>
              </w:rPr>
              <w:t>标物</w:t>
            </w:r>
          </w:p>
        </w:tc>
        <w:tc>
          <w:tcPr>
            <w:tcW w:w="1079" w:type="dxa"/>
            <w:tcBorders>
              <w:tl2br w:val="nil"/>
              <w:tr2bl w:val="nil"/>
            </w:tcBorders>
            <w:shd w:val="clear" w:color="auto" w:fill="auto"/>
            <w:vAlign w:val="bottom"/>
          </w:tcPr>
          <w:p w:rsidR="00D111C2" w:rsidRDefault="00D111C2" w:rsidP="00624AF8">
            <w:pPr>
              <w:widowControl/>
              <w:jc w:val="left"/>
              <w:textAlignment w:val="bottom"/>
              <w:rPr>
                <w:rFonts w:ascii="宋体" w:hAnsi="宋体" w:cs="宋体"/>
                <w:szCs w:val="21"/>
              </w:rPr>
            </w:pPr>
            <w:r>
              <w:rPr>
                <w:rFonts w:ascii="宋体" w:hAnsi="宋体" w:cs="宋体" w:hint="eastAsia"/>
                <w:kern w:val="0"/>
                <w:szCs w:val="21"/>
                <w:lang/>
              </w:rPr>
              <w:t>标准值</w:t>
            </w:r>
          </w:p>
        </w:tc>
        <w:tc>
          <w:tcPr>
            <w:tcW w:w="1126" w:type="dxa"/>
            <w:tcBorders>
              <w:tl2br w:val="nil"/>
              <w:tr2bl w:val="nil"/>
            </w:tcBorders>
            <w:shd w:val="clear" w:color="auto" w:fill="auto"/>
            <w:vAlign w:val="bottom"/>
          </w:tcPr>
          <w:p w:rsidR="00D111C2" w:rsidRDefault="00D111C2" w:rsidP="00624AF8">
            <w:pPr>
              <w:widowControl/>
              <w:jc w:val="left"/>
              <w:textAlignment w:val="bottom"/>
              <w:rPr>
                <w:rFonts w:ascii="宋体" w:hAnsi="宋体" w:cs="宋体"/>
                <w:szCs w:val="21"/>
              </w:rPr>
            </w:pPr>
            <w:r>
              <w:rPr>
                <w:rFonts w:ascii="宋体" w:hAnsi="宋体" w:cs="宋体" w:hint="eastAsia"/>
                <w:kern w:val="0"/>
                <w:szCs w:val="21"/>
                <w:lang/>
              </w:rPr>
              <w:t>不确定度</w:t>
            </w:r>
          </w:p>
        </w:tc>
        <w:tc>
          <w:tcPr>
            <w:tcW w:w="1625" w:type="dxa"/>
            <w:tcBorders>
              <w:tl2br w:val="nil"/>
              <w:tr2bl w:val="nil"/>
            </w:tcBorders>
            <w:shd w:val="clear" w:color="auto" w:fill="auto"/>
            <w:vAlign w:val="bottom"/>
          </w:tcPr>
          <w:p w:rsidR="00D111C2" w:rsidRDefault="00D111C2" w:rsidP="00624AF8">
            <w:pPr>
              <w:widowControl/>
              <w:jc w:val="center"/>
              <w:textAlignment w:val="bottom"/>
              <w:rPr>
                <w:rFonts w:ascii="宋体" w:hAnsi="宋体" w:cs="宋体"/>
                <w:szCs w:val="21"/>
              </w:rPr>
            </w:pPr>
            <w:r>
              <w:rPr>
                <w:rFonts w:ascii="宋体" w:hAnsi="宋体" w:cs="宋体" w:hint="eastAsia"/>
                <w:kern w:val="0"/>
                <w:szCs w:val="21"/>
                <w:lang/>
              </w:rPr>
              <w:t>相对不确定度值</w:t>
            </w:r>
          </w:p>
        </w:tc>
        <w:tc>
          <w:tcPr>
            <w:tcW w:w="857" w:type="dxa"/>
            <w:tcBorders>
              <w:tl2br w:val="nil"/>
              <w:tr2bl w:val="nil"/>
            </w:tcBorders>
            <w:shd w:val="clear" w:color="auto" w:fill="auto"/>
            <w:vAlign w:val="bottom"/>
          </w:tcPr>
          <w:p w:rsidR="00D111C2" w:rsidRDefault="00D111C2" w:rsidP="00624AF8">
            <w:pPr>
              <w:widowControl/>
              <w:jc w:val="left"/>
              <w:textAlignment w:val="bottom"/>
              <w:rPr>
                <w:rFonts w:ascii="宋体" w:hAnsi="宋体" w:cs="宋体"/>
                <w:szCs w:val="21"/>
              </w:rPr>
            </w:pPr>
            <w:r>
              <w:rPr>
                <w:rFonts w:ascii="宋体" w:hAnsi="宋体" w:cs="宋体" w:hint="eastAsia"/>
                <w:kern w:val="0"/>
                <w:szCs w:val="21"/>
                <w:lang/>
              </w:rPr>
              <w:t>r</w:t>
            </w:r>
          </w:p>
        </w:tc>
        <w:tc>
          <w:tcPr>
            <w:tcW w:w="1061" w:type="dxa"/>
            <w:tcBorders>
              <w:tl2br w:val="nil"/>
              <w:tr2bl w:val="nil"/>
            </w:tcBorders>
            <w:shd w:val="clear" w:color="auto" w:fill="auto"/>
            <w:vAlign w:val="bottom"/>
          </w:tcPr>
          <w:p w:rsidR="00D111C2" w:rsidRDefault="00D111C2" w:rsidP="00624AF8">
            <w:pPr>
              <w:widowControl/>
              <w:jc w:val="left"/>
              <w:textAlignment w:val="bottom"/>
              <w:rPr>
                <w:rFonts w:ascii="宋体" w:hAnsi="宋体" w:cs="宋体"/>
                <w:szCs w:val="21"/>
              </w:rPr>
            </w:pPr>
            <w:r>
              <w:rPr>
                <w:rFonts w:ascii="宋体" w:hAnsi="宋体" w:cs="宋体" w:hint="eastAsia"/>
                <w:kern w:val="0"/>
                <w:szCs w:val="21"/>
                <w:lang/>
              </w:rPr>
              <w:t>U（用户）</w:t>
            </w:r>
          </w:p>
        </w:tc>
      </w:tr>
      <w:tr w:rsidR="00D111C2" w:rsidTr="00624AF8">
        <w:trPr>
          <w:trHeight w:val="283"/>
          <w:jc w:val="center"/>
        </w:trPr>
        <w:tc>
          <w:tcPr>
            <w:tcW w:w="1079" w:type="dxa"/>
            <w:tcBorders>
              <w:tl2br w:val="nil"/>
              <w:tr2bl w:val="nil"/>
            </w:tcBorders>
            <w:shd w:val="clear" w:color="auto" w:fill="auto"/>
            <w:vAlign w:val="bottom"/>
          </w:tcPr>
          <w:p w:rsidR="00D111C2" w:rsidRDefault="00D111C2" w:rsidP="00624AF8">
            <w:pPr>
              <w:widowControl/>
              <w:jc w:val="left"/>
              <w:textAlignment w:val="bottom"/>
              <w:rPr>
                <w:rFonts w:ascii="宋体" w:hAnsi="宋体" w:cs="宋体"/>
                <w:szCs w:val="21"/>
              </w:rPr>
            </w:pPr>
            <w:r>
              <w:rPr>
                <w:rFonts w:ascii="宋体" w:hAnsi="宋体" w:cs="宋体" w:hint="eastAsia"/>
                <w:kern w:val="0"/>
                <w:szCs w:val="21"/>
                <w:lang/>
              </w:rPr>
              <w:t>G</w:t>
            </w:r>
            <w:r>
              <w:rPr>
                <w:rStyle w:val="font11"/>
                <w:rFonts w:hint="default"/>
                <w:color w:val="auto"/>
                <w:sz w:val="21"/>
                <w:szCs w:val="21"/>
                <w:lang/>
              </w:rPr>
              <w:t>BW11121</w:t>
            </w:r>
          </w:p>
        </w:tc>
        <w:tc>
          <w:tcPr>
            <w:tcW w:w="1079" w:type="dxa"/>
            <w:tcBorders>
              <w:tl2br w:val="nil"/>
              <w:tr2bl w:val="nil"/>
            </w:tcBorders>
            <w:shd w:val="clear" w:color="auto" w:fill="auto"/>
            <w:vAlign w:val="bottom"/>
          </w:tcPr>
          <w:p w:rsidR="00D111C2" w:rsidRDefault="00D111C2" w:rsidP="00624AF8">
            <w:pPr>
              <w:widowControl/>
              <w:jc w:val="left"/>
              <w:textAlignment w:val="bottom"/>
              <w:rPr>
                <w:rFonts w:ascii="宋体" w:hAnsi="宋体" w:cs="宋体"/>
                <w:szCs w:val="21"/>
              </w:rPr>
            </w:pPr>
            <w:r>
              <w:rPr>
                <w:rFonts w:ascii="宋体" w:hAnsi="宋体" w:cs="宋体" w:hint="eastAsia"/>
                <w:kern w:val="0"/>
                <w:szCs w:val="21"/>
                <w:lang/>
              </w:rPr>
              <w:t>247</w:t>
            </w:r>
            <w:r>
              <w:rPr>
                <w:rFonts w:hint="eastAsia"/>
                <w:szCs w:val="21"/>
              </w:rPr>
              <w:t>μ</w:t>
            </w:r>
            <w:r>
              <w:rPr>
                <w:rFonts w:hint="eastAsia"/>
                <w:szCs w:val="21"/>
              </w:rPr>
              <w:t>g/g</w:t>
            </w:r>
          </w:p>
        </w:tc>
        <w:tc>
          <w:tcPr>
            <w:tcW w:w="1126" w:type="dxa"/>
            <w:tcBorders>
              <w:tl2br w:val="nil"/>
              <w:tr2bl w:val="nil"/>
            </w:tcBorders>
            <w:shd w:val="clear" w:color="auto" w:fill="auto"/>
            <w:vAlign w:val="bottom"/>
          </w:tcPr>
          <w:p w:rsidR="00D111C2" w:rsidRDefault="00D111C2" w:rsidP="00624AF8">
            <w:pPr>
              <w:widowControl/>
              <w:jc w:val="left"/>
              <w:textAlignment w:val="bottom"/>
              <w:rPr>
                <w:rFonts w:ascii="宋体" w:hAnsi="宋体" w:cs="宋体"/>
                <w:szCs w:val="21"/>
              </w:rPr>
            </w:pPr>
            <w:r>
              <w:rPr>
                <w:rFonts w:ascii="宋体" w:hAnsi="宋体" w:cs="宋体" w:hint="eastAsia"/>
                <w:kern w:val="0"/>
                <w:szCs w:val="21"/>
                <w:lang/>
              </w:rPr>
              <w:t>15</w:t>
            </w:r>
            <w:r>
              <w:rPr>
                <w:rFonts w:hint="eastAsia"/>
                <w:szCs w:val="21"/>
              </w:rPr>
              <w:t>μ</w:t>
            </w:r>
            <w:r>
              <w:rPr>
                <w:rFonts w:hint="eastAsia"/>
                <w:szCs w:val="21"/>
              </w:rPr>
              <w:t>g/g</w:t>
            </w:r>
          </w:p>
        </w:tc>
        <w:tc>
          <w:tcPr>
            <w:tcW w:w="1625" w:type="dxa"/>
            <w:tcBorders>
              <w:tl2br w:val="nil"/>
              <w:tr2bl w:val="nil"/>
            </w:tcBorders>
            <w:shd w:val="clear" w:color="auto" w:fill="auto"/>
            <w:vAlign w:val="bottom"/>
          </w:tcPr>
          <w:p w:rsidR="00D111C2" w:rsidRDefault="00D111C2" w:rsidP="00624AF8">
            <w:pPr>
              <w:widowControl/>
              <w:jc w:val="center"/>
              <w:textAlignment w:val="bottom"/>
              <w:rPr>
                <w:rFonts w:ascii="宋体" w:hAnsi="宋体" w:cs="宋体"/>
                <w:szCs w:val="21"/>
              </w:rPr>
            </w:pPr>
            <w:r>
              <w:rPr>
                <w:rFonts w:ascii="宋体" w:hAnsi="宋体" w:cs="宋体" w:hint="eastAsia"/>
                <w:kern w:val="0"/>
                <w:szCs w:val="21"/>
                <w:lang/>
              </w:rPr>
              <w:t>6%</w:t>
            </w:r>
          </w:p>
        </w:tc>
        <w:tc>
          <w:tcPr>
            <w:tcW w:w="857" w:type="dxa"/>
            <w:tcBorders>
              <w:tl2br w:val="nil"/>
              <w:tr2bl w:val="nil"/>
            </w:tcBorders>
            <w:shd w:val="clear" w:color="auto" w:fill="auto"/>
            <w:vAlign w:val="bottom"/>
          </w:tcPr>
          <w:p w:rsidR="00D111C2" w:rsidRDefault="00D111C2" w:rsidP="00624AF8">
            <w:pPr>
              <w:widowControl/>
              <w:jc w:val="left"/>
              <w:textAlignment w:val="bottom"/>
              <w:rPr>
                <w:rFonts w:ascii="宋体" w:hAnsi="宋体" w:cs="宋体"/>
                <w:szCs w:val="21"/>
              </w:rPr>
            </w:pPr>
            <w:r>
              <w:rPr>
                <w:rFonts w:ascii="宋体" w:hAnsi="宋体" w:cs="宋体" w:hint="eastAsia"/>
                <w:kern w:val="0"/>
                <w:szCs w:val="21"/>
                <w:lang/>
              </w:rPr>
              <w:t>25</w:t>
            </w:r>
            <w:r>
              <w:rPr>
                <w:rFonts w:hint="eastAsia"/>
                <w:szCs w:val="21"/>
              </w:rPr>
              <w:t>μ</w:t>
            </w:r>
            <w:r>
              <w:rPr>
                <w:rFonts w:hint="eastAsia"/>
                <w:szCs w:val="21"/>
              </w:rPr>
              <w:t>g/g</w:t>
            </w:r>
          </w:p>
        </w:tc>
        <w:tc>
          <w:tcPr>
            <w:tcW w:w="1061" w:type="dxa"/>
            <w:tcBorders>
              <w:tl2br w:val="nil"/>
              <w:tr2bl w:val="nil"/>
            </w:tcBorders>
            <w:shd w:val="clear" w:color="auto" w:fill="auto"/>
            <w:vAlign w:val="bottom"/>
          </w:tcPr>
          <w:p w:rsidR="00D111C2" w:rsidRDefault="00D111C2" w:rsidP="00624AF8">
            <w:pPr>
              <w:widowControl/>
              <w:jc w:val="left"/>
              <w:textAlignment w:val="bottom"/>
              <w:rPr>
                <w:rFonts w:ascii="宋体" w:hAnsi="宋体" w:cs="宋体"/>
                <w:szCs w:val="21"/>
              </w:rPr>
            </w:pPr>
            <w:r>
              <w:rPr>
                <w:rFonts w:ascii="宋体" w:hAnsi="宋体" w:cs="宋体" w:hint="eastAsia"/>
                <w:kern w:val="0"/>
                <w:szCs w:val="21"/>
                <w:lang/>
              </w:rPr>
              <w:t>23</w:t>
            </w:r>
            <w:r>
              <w:rPr>
                <w:rFonts w:hint="eastAsia"/>
                <w:szCs w:val="21"/>
              </w:rPr>
              <w:t>μ</w:t>
            </w:r>
            <w:r>
              <w:rPr>
                <w:rFonts w:hint="eastAsia"/>
                <w:szCs w:val="21"/>
              </w:rPr>
              <w:t>g/g</w:t>
            </w:r>
          </w:p>
        </w:tc>
      </w:tr>
      <w:tr w:rsidR="00D111C2" w:rsidTr="00624AF8">
        <w:trPr>
          <w:trHeight w:val="283"/>
          <w:jc w:val="center"/>
        </w:trPr>
        <w:tc>
          <w:tcPr>
            <w:tcW w:w="1079" w:type="dxa"/>
            <w:tcBorders>
              <w:tl2br w:val="nil"/>
              <w:tr2bl w:val="nil"/>
            </w:tcBorders>
            <w:shd w:val="clear" w:color="auto" w:fill="auto"/>
            <w:vAlign w:val="bottom"/>
          </w:tcPr>
          <w:p w:rsidR="00D111C2" w:rsidRDefault="00D111C2" w:rsidP="00624AF8">
            <w:pPr>
              <w:widowControl/>
              <w:jc w:val="left"/>
              <w:textAlignment w:val="bottom"/>
              <w:rPr>
                <w:rFonts w:ascii="宋体" w:hAnsi="宋体" w:cs="宋体"/>
                <w:szCs w:val="21"/>
              </w:rPr>
            </w:pPr>
            <w:r>
              <w:rPr>
                <w:rFonts w:ascii="宋体" w:hAnsi="宋体" w:cs="宋体" w:hint="eastAsia"/>
                <w:kern w:val="0"/>
                <w:szCs w:val="21"/>
                <w:lang/>
              </w:rPr>
              <w:t>GBW11122</w:t>
            </w:r>
          </w:p>
        </w:tc>
        <w:tc>
          <w:tcPr>
            <w:tcW w:w="1079" w:type="dxa"/>
            <w:tcBorders>
              <w:tl2br w:val="nil"/>
              <w:tr2bl w:val="nil"/>
            </w:tcBorders>
            <w:shd w:val="clear" w:color="auto" w:fill="auto"/>
            <w:vAlign w:val="bottom"/>
          </w:tcPr>
          <w:p w:rsidR="00D111C2" w:rsidRDefault="00D111C2" w:rsidP="00624AF8">
            <w:pPr>
              <w:widowControl/>
              <w:jc w:val="left"/>
              <w:textAlignment w:val="bottom"/>
              <w:rPr>
                <w:rFonts w:ascii="宋体" w:hAnsi="宋体" w:cs="宋体"/>
                <w:szCs w:val="21"/>
              </w:rPr>
            </w:pPr>
            <w:r>
              <w:rPr>
                <w:rFonts w:ascii="宋体" w:hAnsi="宋体" w:cs="宋体" w:hint="eastAsia"/>
                <w:kern w:val="0"/>
                <w:szCs w:val="21"/>
                <w:lang/>
              </w:rPr>
              <w:t>864</w:t>
            </w:r>
            <w:r>
              <w:rPr>
                <w:rFonts w:hint="eastAsia"/>
                <w:szCs w:val="21"/>
              </w:rPr>
              <w:t>μ</w:t>
            </w:r>
            <w:r>
              <w:rPr>
                <w:rFonts w:hint="eastAsia"/>
                <w:szCs w:val="21"/>
              </w:rPr>
              <w:t>g/g</w:t>
            </w:r>
          </w:p>
        </w:tc>
        <w:tc>
          <w:tcPr>
            <w:tcW w:w="1126" w:type="dxa"/>
            <w:tcBorders>
              <w:tl2br w:val="nil"/>
              <w:tr2bl w:val="nil"/>
            </w:tcBorders>
            <w:shd w:val="clear" w:color="auto" w:fill="auto"/>
            <w:vAlign w:val="bottom"/>
          </w:tcPr>
          <w:p w:rsidR="00D111C2" w:rsidRDefault="00D111C2" w:rsidP="00624AF8">
            <w:pPr>
              <w:widowControl/>
              <w:jc w:val="left"/>
              <w:textAlignment w:val="bottom"/>
              <w:rPr>
                <w:rFonts w:ascii="宋体" w:hAnsi="宋体" w:cs="宋体"/>
                <w:szCs w:val="21"/>
              </w:rPr>
            </w:pPr>
            <w:r>
              <w:rPr>
                <w:rFonts w:ascii="宋体" w:hAnsi="宋体" w:cs="宋体" w:hint="eastAsia"/>
                <w:kern w:val="0"/>
                <w:szCs w:val="21"/>
                <w:lang/>
              </w:rPr>
              <w:t>20</w:t>
            </w:r>
            <w:r>
              <w:rPr>
                <w:rFonts w:hint="eastAsia"/>
                <w:szCs w:val="21"/>
              </w:rPr>
              <w:t>μ</w:t>
            </w:r>
            <w:r>
              <w:rPr>
                <w:rFonts w:hint="eastAsia"/>
                <w:szCs w:val="21"/>
              </w:rPr>
              <w:t>g/g</w:t>
            </w:r>
          </w:p>
        </w:tc>
        <w:tc>
          <w:tcPr>
            <w:tcW w:w="1625" w:type="dxa"/>
            <w:tcBorders>
              <w:tl2br w:val="nil"/>
              <w:tr2bl w:val="nil"/>
            </w:tcBorders>
            <w:shd w:val="clear" w:color="auto" w:fill="auto"/>
            <w:vAlign w:val="bottom"/>
          </w:tcPr>
          <w:p w:rsidR="00D111C2" w:rsidRDefault="00D111C2" w:rsidP="00624AF8">
            <w:pPr>
              <w:widowControl/>
              <w:jc w:val="center"/>
              <w:textAlignment w:val="bottom"/>
              <w:rPr>
                <w:rFonts w:ascii="宋体" w:hAnsi="宋体" w:cs="宋体"/>
                <w:szCs w:val="21"/>
              </w:rPr>
            </w:pPr>
            <w:r>
              <w:rPr>
                <w:rFonts w:ascii="宋体" w:hAnsi="宋体" w:cs="宋体" w:hint="eastAsia"/>
                <w:kern w:val="0"/>
                <w:szCs w:val="21"/>
                <w:lang/>
              </w:rPr>
              <w:t>2%</w:t>
            </w:r>
          </w:p>
        </w:tc>
        <w:tc>
          <w:tcPr>
            <w:tcW w:w="857" w:type="dxa"/>
            <w:tcBorders>
              <w:tl2br w:val="nil"/>
              <w:tr2bl w:val="nil"/>
            </w:tcBorders>
            <w:shd w:val="clear" w:color="auto" w:fill="auto"/>
            <w:vAlign w:val="bottom"/>
          </w:tcPr>
          <w:p w:rsidR="00D111C2" w:rsidRDefault="00D111C2" w:rsidP="00624AF8">
            <w:pPr>
              <w:widowControl/>
              <w:jc w:val="left"/>
              <w:textAlignment w:val="bottom"/>
              <w:rPr>
                <w:rFonts w:ascii="宋体" w:hAnsi="宋体" w:cs="宋体"/>
                <w:szCs w:val="21"/>
              </w:rPr>
            </w:pPr>
            <w:r>
              <w:rPr>
                <w:rFonts w:ascii="宋体" w:hAnsi="宋体" w:cs="宋体" w:hint="eastAsia"/>
                <w:kern w:val="0"/>
                <w:szCs w:val="21"/>
                <w:lang/>
              </w:rPr>
              <w:t>86</w:t>
            </w:r>
            <w:r>
              <w:rPr>
                <w:rFonts w:hint="eastAsia"/>
                <w:szCs w:val="21"/>
              </w:rPr>
              <w:t>μ</w:t>
            </w:r>
            <w:r>
              <w:rPr>
                <w:rFonts w:hint="eastAsia"/>
                <w:szCs w:val="21"/>
              </w:rPr>
              <w:t>g/g</w:t>
            </w:r>
          </w:p>
        </w:tc>
        <w:tc>
          <w:tcPr>
            <w:tcW w:w="1061" w:type="dxa"/>
            <w:tcBorders>
              <w:tl2br w:val="nil"/>
              <w:tr2bl w:val="nil"/>
            </w:tcBorders>
            <w:shd w:val="clear" w:color="auto" w:fill="auto"/>
            <w:vAlign w:val="bottom"/>
          </w:tcPr>
          <w:p w:rsidR="00D111C2" w:rsidRDefault="00D111C2" w:rsidP="00624AF8">
            <w:pPr>
              <w:widowControl/>
              <w:jc w:val="left"/>
              <w:textAlignment w:val="bottom"/>
              <w:rPr>
                <w:rFonts w:ascii="宋体" w:hAnsi="宋体" w:cs="宋体"/>
                <w:szCs w:val="21"/>
              </w:rPr>
            </w:pPr>
            <w:r>
              <w:rPr>
                <w:rFonts w:ascii="宋体" w:hAnsi="宋体" w:cs="宋体" w:hint="eastAsia"/>
                <w:kern w:val="0"/>
                <w:szCs w:val="21"/>
                <w:lang/>
              </w:rPr>
              <w:t>64</w:t>
            </w:r>
            <w:r>
              <w:rPr>
                <w:rFonts w:hint="eastAsia"/>
                <w:szCs w:val="21"/>
              </w:rPr>
              <w:t>μ</w:t>
            </w:r>
            <w:r>
              <w:rPr>
                <w:rFonts w:hint="eastAsia"/>
                <w:szCs w:val="21"/>
              </w:rPr>
              <w:t>g/g</w:t>
            </w:r>
          </w:p>
        </w:tc>
      </w:tr>
      <w:tr w:rsidR="00D111C2" w:rsidTr="00624AF8">
        <w:trPr>
          <w:trHeight w:val="283"/>
          <w:jc w:val="center"/>
        </w:trPr>
        <w:tc>
          <w:tcPr>
            <w:tcW w:w="1079" w:type="dxa"/>
            <w:tcBorders>
              <w:tl2br w:val="nil"/>
              <w:tr2bl w:val="nil"/>
            </w:tcBorders>
            <w:shd w:val="clear" w:color="auto" w:fill="auto"/>
            <w:vAlign w:val="bottom"/>
          </w:tcPr>
          <w:p w:rsidR="00D111C2" w:rsidRDefault="00D111C2" w:rsidP="00624AF8">
            <w:pPr>
              <w:widowControl/>
              <w:jc w:val="left"/>
              <w:textAlignment w:val="bottom"/>
              <w:rPr>
                <w:rFonts w:ascii="宋体" w:hAnsi="宋体" w:cs="宋体"/>
                <w:szCs w:val="21"/>
              </w:rPr>
            </w:pPr>
            <w:r>
              <w:rPr>
                <w:rFonts w:ascii="宋体" w:hAnsi="宋体" w:cs="宋体" w:hint="eastAsia"/>
                <w:kern w:val="0"/>
                <w:szCs w:val="21"/>
                <w:lang/>
              </w:rPr>
              <w:t>GBW11123</w:t>
            </w:r>
          </w:p>
        </w:tc>
        <w:tc>
          <w:tcPr>
            <w:tcW w:w="1079" w:type="dxa"/>
            <w:tcBorders>
              <w:tl2br w:val="nil"/>
              <w:tr2bl w:val="nil"/>
            </w:tcBorders>
            <w:shd w:val="clear" w:color="auto" w:fill="auto"/>
            <w:vAlign w:val="bottom"/>
          </w:tcPr>
          <w:p w:rsidR="00D111C2" w:rsidRDefault="00D111C2" w:rsidP="00624AF8">
            <w:pPr>
              <w:widowControl/>
              <w:jc w:val="left"/>
              <w:textAlignment w:val="bottom"/>
              <w:rPr>
                <w:rFonts w:ascii="宋体" w:hAnsi="宋体" w:cs="宋体"/>
                <w:szCs w:val="21"/>
              </w:rPr>
            </w:pPr>
            <w:r>
              <w:rPr>
                <w:rFonts w:ascii="宋体" w:hAnsi="宋体" w:cs="宋体" w:hint="eastAsia"/>
                <w:kern w:val="0"/>
                <w:szCs w:val="21"/>
                <w:lang/>
              </w:rPr>
              <w:t>1496</w:t>
            </w:r>
            <w:r>
              <w:rPr>
                <w:rFonts w:hint="eastAsia"/>
                <w:szCs w:val="21"/>
              </w:rPr>
              <w:t>μ</w:t>
            </w:r>
            <w:r>
              <w:rPr>
                <w:rFonts w:hint="eastAsia"/>
                <w:szCs w:val="21"/>
              </w:rPr>
              <w:t>g/g</w:t>
            </w:r>
          </w:p>
        </w:tc>
        <w:tc>
          <w:tcPr>
            <w:tcW w:w="1126" w:type="dxa"/>
            <w:tcBorders>
              <w:tl2br w:val="nil"/>
              <w:tr2bl w:val="nil"/>
            </w:tcBorders>
            <w:shd w:val="clear" w:color="auto" w:fill="auto"/>
            <w:vAlign w:val="bottom"/>
          </w:tcPr>
          <w:p w:rsidR="00D111C2" w:rsidRDefault="00D111C2" w:rsidP="00624AF8">
            <w:pPr>
              <w:widowControl/>
              <w:jc w:val="left"/>
              <w:textAlignment w:val="bottom"/>
              <w:rPr>
                <w:rFonts w:ascii="宋体" w:hAnsi="宋体" w:cs="宋体"/>
                <w:szCs w:val="21"/>
              </w:rPr>
            </w:pPr>
            <w:r>
              <w:rPr>
                <w:rFonts w:ascii="宋体" w:hAnsi="宋体" w:cs="宋体" w:hint="eastAsia"/>
                <w:kern w:val="0"/>
                <w:szCs w:val="21"/>
                <w:lang/>
              </w:rPr>
              <w:t>30</w:t>
            </w:r>
            <w:r>
              <w:rPr>
                <w:rFonts w:hint="eastAsia"/>
                <w:szCs w:val="21"/>
              </w:rPr>
              <w:t>μ</w:t>
            </w:r>
            <w:r>
              <w:rPr>
                <w:rFonts w:hint="eastAsia"/>
                <w:szCs w:val="21"/>
              </w:rPr>
              <w:t>g/g</w:t>
            </w:r>
          </w:p>
        </w:tc>
        <w:tc>
          <w:tcPr>
            <w:tcW w:w="1625" w:type="dxa"/>
            <w:tcBorders>
              <w:tl2br w:val="nil"/>
              <w:tr2bl w:val="nil"/>
            </w:tcBorders>
            <w:shd w:val="clear" w:color="auto" w:fill="auto"/>
            <w:vAlign w:val="bottom"/>
          </w:tcPr>
          <w:p w:rsidR="00D111C2" w:rsidRDefault="00D111C2" w:rsidP="00624AF8">
            <w:pPr>
              <w:widowControl/>
              <w:jc w:val="center"/>
              <w:textAlignment w:val="bottom"/>
              <w:rPr>
                <w:rFonts w:ascii="宋体" w:hAnsi="宋体" w:cs="宋体"/>
                <w:szCs w:val="21"/>
              </w:rPr>
            </w:pPr>
            <w:r>
              <w:rPr>
                <w:rFonts w:ascii="宋体" w:hAnsi="宋体" w:cs="宋体" w:hint="eastAsia"/>
                <w:kern w:val="0"/>
                <w:szCs w:val="21"/>
                <w:lang/>
              </w:rPr>
              <w:t>2%</w:t>
            </w:r>
          </w:p>
        </w:tc>
        <w:tc>
          <w:tcPr>
            <w:tcW w:w="857" w:type="dxa"/>
            <w:tcBorders>
              <w:tl2br w:val="nil"/>
              <w:tr2bl w:val="nil"/>
            </w:tcBorders>
            <w:shd w:val="clear" w:color="auto" w:fill="auto"/>
            <w:vAlign w:val="bottom"/>
          </w:tcPr>
          <w:p w:rsidR="00D111C2" w:rsidRDefault="00D111C2" w:rsidP="00624AF8">
            <w:pPr>
              <w:widowControl/>
              <w:jc w:val="left"/>
              <w:textAlignment w:val="bottom"/>
              <w:rPr>
                <w:rFonts w:ascii="宋体" w:hAnsi="宋体" w:cs="宋体"/>
                <w:szCs w:val="21"/>
              </w:rPr>
            </w:pPr>
            <w:r>
              <w:rPr>
                <w:rFonts w:ascii="宋体" w:hAnsi="宋体" w:cs="宋体" w:hint="eastAsia"/>
                <w:kern w:val="0"/>
                <w:szCs w:val="21"/>
                <w:lang/>
              </w:rPr>
              <w:t>149</w:t>
            </w:r>
            <w:r>
              <w:rPr>
                <w:rFonts w:hint="eastAsia"/>
                <w:szCs w:val="21"/>
              </w:rPr>
              <w:t>μ</w:t>
            </w:r>
            <w:r>
              <w:rPr>
                <w:rFonts w:hint="eastAsia"/>
                <w:szCs w:val="21"/>
              </w:rPr>
              <w:t>g/g</w:t>
            </w:r>
          </w:p>
        </w:tc>
        <w:tc>
          <w:tcPr>
            <w:tcW w:w="1061" w:type="dxa"/>
            <w:tcBorders>
              <w:tl2br w:val="nil"/>
              <w:tr2bl w:val="nil"/>
            </w:tcBorders>
            <w:shd w:val="clear" w:color="auto" w:fill="auto"/>
            <w:vAlign w:val="bottom"/>
          </w:tcPr>
          <w:p w:rsidR="00D111C2" w:rsidRDefault="00D111C2" w:rsidP="00624AF8">
            <w:pPr>
              <w:widowControl/>
              <w:jc w:val="left"/>
              <w:textAlignment w:val="bottom"/>
              <w:rPr>
                <w:rFonts w:ascii="宋体" w:hAnsi="宋体" w:cs="宋体"/>
                <w:szCs w:val="21"/>
              </w:rPr>
            </w:pPr>
            <w:r>
              <w:rPr>
                <w:rFonts w:ascii="宋体" w:hAnsi="宋体" w:cs="宋体" w:hint="eastAsia"/>
                <w:kern w:val="0"/>
                <w:szCs w:val="21"/>
                <w:lang/>
              </w:rPr>
              <w:t>109</w:t>
            </w:r>
            <w:r>
              <w:rPr>
                <w:rFonts w:hint="eastAsia"/>
                <w:szCs w:val="21"/>
              </w:rPr>
              <w:t>μ</w:t>
            </w:r>
            <w:r>
              <w:rPr>
                <w:rFonts w:hint="eastAsia"/>
                <w:szCs w:val="21"/>
              </w:rPr>
              <w:t>g/g</w:t>
            </w:r>
          </w:p>
        </w:tc>
      </w:tr>
      <w:tr w:rsidR="00D111C2" w:rsidTr="00624AF8">
        <w:trPr>
          <w:trHeight w:val="283"/>
          <w:jc w:val="center"/>
        </w:trPr>
        <w:tc>
          <w:tcPr>
            <w:tcW w:w="1079" w:type="dxa"/>
            <w:tcBorders>
              <w:tl2br w:val="nil"/>
              <w:tr2bl w:val="nil"/>
            </w:tcBorders>
            <w:shd w:val="clear" w:color="auto" w:fill="auto"/>
            <w:vAlign w:val="bottom"/>
          </w:tcPr>
          <w:p w:rsidR="00D111C2" w:rsidRDefault="00D111C2" w:rsidP="00624AF8">
            <w:pPr>
              <w:widowControl/>
              <w:jc w:val="left"/>
              <w:textAlignment w:val="bottom"/>
              <w:rPr>
                <w:rFonts w:ascii="宋体" w:hAnsi="宋体" w:cs="宋体"/>
                <w:szCs w:val="21"/>
              </w:rPr>
            </w:pPr>
            <w:r>
              <w:rPr>
                <w:rFonts w:ascii="宋体" w:hAnsi="宋体" w:cs="宋体" w:hint="eastAsia"/>
                <w:kern w:val="0"/>
                <w:szCs w:val="21"/>
                <w:lang/>
              </w:rPr>
              <w:lastRenderedPageBreak/>
              <w:t>G</w:t>
            </w:r>
            <w:r>
              <w:rPr>
                <w:rStyle w:val="font11"/>
                <w:rFonts w:hint="default"/>
                <w:color w:val="auto"/>
                <w:sz w:val="21"/>
                <w:szCs w:val="21"/>
                <w:lang/>
              </w:rPr>
              <w:t>BW11118</w:t>
            </w:r>
          </w:p>
        </w:tc>
        <w:tc>
          <w:tcPr>
            <w:tcW w:w="1079" w:type="dxa"/>
            <w:tcBorders>
              <w:tl2br w:val="nil"/>
              <w:tr2bl w:val="nil"/>
            </w:tcBorders>
            <w:shd w:val="clear" w:color="auto" w:fill="auto"/>
            <w:vAlign w:val="bottom"/>
          </w:tcPr>
          <w:p w:rsidR="00D111C2" w:rsidRDefault="00D111C2" w:rsidP="00624AF8">
            <w:pPr>
              <w:widowControl/>
              <w:jc w:val="left"/>
              <w:textAlignment w:val="bottom"/>
              <w:rPr>
                <w:rFonts w:ascii="宋体" w:hAnsi="宋体" w:cs="宋体"/>
                <w:szCs w:val="21"/>
              </w:rPr>
            </w:pPr>
            <w:r>
              <w:rPr>
                <w:rFonts w:ascii="宋体" w:hAnsi="宋体" w:cs="宋体" w:hint="eastAsia"/>
                <w:kern w:val="0"/>
                <w:szCs w:val="21"/>
                <w:lang/>
              </w:rPr>
              <w:t>0.010 %</w:t>
            </w:r>
          </w:p>
        </w:tc>
        <w:tc>
          <w:tcPr>
            <w:tcW w:w="1126" w:type="dxa"/>
            <w:tcBorders>
              <w:tl2br w:val="nil"/>
              <w:tr2bl w:val="nil"/>
            </w:tcBorders>
            <w:shd w:val="clear" w:color="auto" w:fill="auto"/>
            <w:vAlign w:val="bottom"/>
          </w:tcPr>
          <w:p w:rsidR="00D111C2" w:rsidRDefault="00D111C2" w:rsidP="00624AF8">
            <w:pPr>
              <w:widowControl/>
              <w:jc w:val="left"/>
              <w:textAlignment w:val="bottom"/>
              <w:rPr>
                <w:rFonts w:ascii="宋体" w:hAnsi="宋体" w:cs="宋体"/>
                <w:szCs w:val="21"/>
              </w:rPr>
            </w:pPr>
            <w:r>
              <w:rPr>
                <w:rFonts w:ascii="宋体" w:hAnsi="宋体" w:cs="宋体" w:hint="eastAsia"/>
                <w:kern w:val="0"/>
                <w:szCs w:val="21"/>
                <w:lang/>
              </w:rPr>
              <w:t>0.002 %</w:t>
            </w:r>
          </w:p>
        </w:tc>
        <w:tc>
          <w:tcPr>
            <w:tcW w:w="1625" w:type="dxa"/>
            <w:tcBorders>
              <w:tl2br w:val="nil"/>
              <w:tr2bl w:val="nil"/>
            </w:tcBorders>
            <w:shd w:val="clear" w:color="auto" w:fill="auto"/>
            <w:vAlign w:val="bottom"/>
          </w:tcPr>
          <w:p w:rsidR="00D111C2" w:rsidRDefault="00D111C2" w:rsidP="00624AF8">
            <w:pPr>
              <w:widowControl/>
              <w:jc w:val="center"/>
              <w:textAlignment w:val="bottom"/>
              <w:rPr>
                <w:rFonts w:ascii="宋体" w:hAnsi="宋体" w:cs="宋体"/>
                <w:szCs w:val="21"/>
              </w:rPr>
            </w:pPr>
            <w:r>
              <w:rPr>
                <w:rFonts w:ascii="宋体" w:hAnsi="宋体" w:cs="宋体" w:hint="eastAsia"/>
                <w:kern w:val="0"/>
                <w:szCs w:val="21"/>
                <w:lang/>
              </w:rPr>
              <w:t>0.200</w:t>
            </w:r>
          </w:p>
        </w:tc>
        <w:tc>
          <w:tcPr>
            <w:tcW w:w="857" w:type="dxa"/>
            <w:tcBorders>
              <w:tl2br w:val="nil"/>
              <w:tr2bl w:val="nil"/>
            </w:tcBorders>
            <w:shd w:val="clear" w:color="auto" w:fill="auto"/>
            <w:vAlign w:val="bottom"/>
          </w:tcPr>
          <w:p w:rsidR="00D111C2" w:rsidRDefault="00D111C2" w:rsidP="00624AF8">
            <w:pPr>
              <w:widowControl/>
              <w:jc w:val="left"/>
              <w:textAlignment w:val="bottom"/>
              <w:rPr>
                <w:rFonts w:ascii="宋体" w:hAnsi="宋体" w:cs="宋体"/>
                <w:szCs w:val="21"/>
              </w:rPr>
            </w:pPr>
            <w:r>
              <w:rPr>
                <w:rFonts w:ascii="宋体" w:hAnsi="宋体" w:cs="宋体" w:hint="eastAsia"/>
                <w:kern w:val="0"/>
                <w:szCs w:val="21"/>
                <w:lang/>
              </w:rPr>
              <w:t>0.010 %</w:t>
            </w:r>
          </w:p>
        </w:tc>
        <w:tc>
          <w:tcPr>
            <w:tcW w:w="1061" w:type="dxa"/>
            <w:tcBorders>
              <w:tl2br w:val="nil"/>
              <w:tr2bl w:val="nil"/>
            </w:tcBorders>
            <w:shd w:val="clear" w:color="auto" w:fill="auto"/>
            <w:vAlign w:val="bottom"/>
          </w:tcPr>
          <w:p w:rsidR="00D111C2" w:rsidRDefault="00D111C2" w:rsidP="00624AF8">
            <w:pPr>
              <w:widowControl/>
              <w:jc w:val="left"/>
              <w:textAlignment w:val="bottom"/>
              <w:rPr>
                <w:rFonts w:ascii="宋体" w:hAnsi="宋体" w:cs="宋体"/>
                <w:szCs w:val="21"/>
              </w:rPr>
            </w:pPr>
            <w:r>
              <w:rPr>
                <w:rFonts w:ascii="宋体" w:hAnsi="宋体" w:cs="宋体" w:hint="eastAsia"/>
                <w:kern w:val="0"/>
                <w:szCs w:val="21"/>
                <w:lang/>
              </w:rPr>
              <w:t>0.007%</w:t>
            </w:r>
          </w:p>
        </w:tc>
      </w:tr>
      <w:tr w:rsidR="00D111C2" w:rsidTr="00624AF8">
        <w:trPr>
          <w:trHeight w:val="283"/>
          <w:jc w:val="center"/>
        </w:trPr>
        <w:tc>
          <w:tcPr>
            <w:tcW w:w="1079" w:type="dxa"/>
            <w:tcBorders>
              <w:tl2br w:val="nil"/>
              <w:tr2bl w:val="nil"/>
            </w:tcBorders>
            <w:shd w:val="clear" w:color="auto" w:fill="auto"/>
            <w:vAlign w:val="bottom"/>
          </w:tcPr>
          <w:p w:rsidR="00D111C2" w:rsidRDefault="00D111C2" w:rsidP="00624AF8">
            <w:pPr>
              <w:widowControl/>
              <w:jc w:val="left"/>
              <w:textAlignment w:val="bottom"/>
              <w:rPr>
                <w:rFonts w:ascii="宋体" w:hAnsi="宋体" w:cs="宋体"/>
                <w:szCs w:val="21"/>
              </w:rPr>
            </w:pPr>
            <w:r>
              <w:rPr>
                <w:rFonts w:ascii="宋体" w:hAnsi="宋体" w:cs="宋体" w:hint="eastAsia"/>
                <w:kern w:val="0"/>
                <w:szCs w:val="21"/>
                <w:lang/>
              </w:rPr>
              <w:t>G</w:t>
            </w:r>
            <w:r>
              <w:rPr>
                <w:rStyle w:val="font11"/>
                <w:rFonts w:hint="default"/>
                <w:color w:val="auto"/>
                <w:sz w:val="21"/>
                <w:szCs w:val="21"/>
                <w:lang/>
              </w:rPr>
              <w:t>BW11119</w:t>
            </w:r>
          </w:p>
        </w:tc>
        <w:tc>
          <w:tcPr>
            <w:tcW w:w="1079" w:type="dxa"/>
            <w:tcBorders>
              <w:tl2br w:val="nil"/>
              <w:tr2bl w:val="nil"/>
            </w:tcBorders>
            <w:shd w:val="clear" w:color="auto" w:fill="auto"/>
            <w:vAlign w:val="bottom"/>
          </w:tcPr>
          <w:p w:rsidR="00D111C2" w:rsidRDefault="00D111C2" w:rsidP="00624AF8">
            <w:pPr>
              <w:widowControl/>
              <w:jc w:val="left"/>
              <w:textAlignment w:val="bottom"/>
              <w:rPr>
                <w:rFonts w:ascii="宋体" w:hAnsi="宋体" w:cs="宋体"/>
                <w:szCs w:val="21"/>
              </w:rPr>
            </w:pPr>
            <w:r>
              <w:rPr>
                <w:rFonts w:ascii="宋体" w:hAnsi="宋体" w:cs="宋体" w:hint="eastAsia"/>
                <w:kern w:val="0"/>
                <w:szCs w:val="21"/>
                <w:lang/>
              </w:rPr>
              <w:t>0.057 %</w:t>
            </w:r>
          </w:p>
        </w:tc>
        <w:tc>
          <w:tcPr>
            <w:tcW w:w="1126" w:type="dxa"/>
            <w:tcBorders>
              <w:tl2br w:val="nil"/>
              <w:tr2bl w:val="nil"/>
            </w:tcBorders>
            <w:shd w:val="clear" w:color="auto" w:fill="auto"/>
            <w:vAlign w:val="bottom"/>
          </w:tcPr>
          <w:p w:rsidR="00D111C2" w:rsidRDefault="00D111C2" w:rsidP="00624AF8">
            <w:pPr>
              <w:widowControl/>
              <w:jc w:val="left"/>
              <w:textAlignment w:val="bottom"/>
              <w:rPr>
                <w:rFonts w:ascii="宋体" w:hAnsi="宋体" w:cs="宋体"/>
                <w:szCs w:val="21"/>
              </w:rPr>
            </w:pPr>
            <w:r>
              <w:rPr>
                <w:rFonts w:ascii="宋体" w:hAnsi="宋体" w:cs="宋体" w:hint="eastAsia"/>
                <w:kern w:val="0"/>
                <w:szCs w:val="21"/>
                <w:lang/>
              </w:rPr>
              <w:t>0.003 %</w:t>
            </w:r>
          </w:p>
        </w:tc>
        <w:tc>
          <w:tcPr>
            <w:tcW w:w="1625" w:type="dxa"/>
            <w:tcBorders>
              <w:tl2br w:val="nil"/>
              <w:tr2bl w:val="nil"/>
            </w:tcBorders>
            <w:shd w:val="clear" w:color="auto" w:fill="auto"/>
            <w:vAlign w:val="bottom"/>
          </w:tcPr>
          <w:p w:rsidR="00D111C2" w:rsidRDefault="00D111C2" w:rsidP="00624AF8">
            <w:pPr>
              <w:widowControl/>
              <w:jc w:val="center"/>
              <w:textAlignment w:val="bottom"/>
              <w:rPr>
                <w:rFonts w:ascii="宋体" w:hAnsi="宋体" w:cs="宋体"/>
                <w:szCs w:val="21"/>
              </w:rPr>
            </w:pPr>
            <w:r>
              <w:rPr>
                <w:rFonts w:ascii="宋体" w:hAnsi="宋体" w:cs="宋体" w:hint="eastAsia"/>
                <w:kern w:val="0"/>
                <w:szCs w:val="21"/>
                <w:lang/>
              </w:rPr>
              <w:t>0.050</w:t>
            </w:r>
          </w:p>
        </w:tc>
        <w:tc>
          <w:tcPr>
            <w:tcW w:w="857" w:type="dxa"/>
            <w:tcBorders>
              <w:tl2br w:val="nil"/>
              <w:tr2bl w:val="nil"/>
            </w:tcBorders>
            <w:shd w:val="clear" w:color="auto" w:fill="auto"/>
            <w:vAlign w:val="bottom"/>
          </w:tcPr>
          <w:p w:rsidR="00D111C2" w:rsidRDefault="00D111C2" w:rsidP="00624AF8">
            <w:pPr>
              <w:widowControl/>
              <w:jc w:val="left"/>
              <w:textAlignment w:val="bottom"/>
              <w:rPr>
                <w:rFonts w:ascii="宋体" w:hAnsi="宋体" w:cs="宋体"/>
                <w:szCs w:val="21"/>
              </w:rPr>
            </w:pPr>
            <w:r>
              <w:rPr>
                <w:rFonts w:ascii="宋体" w:hAnsi="宋体" w:cs="宋体" w:hint="eastAsia"/>
                <w:kern w:val="0"/>
                <w:szCs w:val="21"/>
                <w:lang/>
              </w:rPr>
              <w:t>0.010 %</w:t>
            </w:r>
          </w:p>
        </w:tc>
        <w:tc>
          <w:tcPr>
            <w:tcW w:w="1061" w:type="dxa"/>
            <w:tcBorders>
              <w:tl2br w:val="nil"/>
              <w:tr2bl w:val="nil"/>
            </w:tcBorders>
            <w:shd w:val="clear" w:color="auto" w:fill="auto"/>
            <w:vAlign w:val="bottom"/>
          </w:tcPr>
          <w:p w:rsidR="00D111C2" w:rsidRDefault="00D111C2" w:rsidP="00624AF8">
            <w:pPr>
              <w:widowControl/>
              <w:jc w:val="left"/>
              <w:textAlignment w:val="bottom"/>
              <w:rPr>
                <w:rFonts w:ascii="宋体" w:hAnsi="宋体" w:cs="宋体"/>
                <w:szCs w:val="21"/>
              </w:rPr>
            </w:pPr>
            <w:r>
              <w:rPr>
                <w:rFonts w:ascii="宋体" w:hAnsi="宋体" w:cs="宋体" w:hint="eastAsia"/>
                <w:kern w:val="0"/>
                <w:szCs w:val="21"/>
                <w:lang/>
              </w:rPr>
              <w:t>0.007%</w:t>
            </w:r>
          </w:p>
        </w:tc>
      </w:tr>
      <w:tr w:rsidR="00D111C2" w:rsidTr="00624AF8">
        <w:trPr>
          <w:trHeight w:val="283"/>
          <w:jc w:val="center"/>
        </w:trPr>
        <w:tc>
          <w:tcPr>
            <w:tcW w:w="1079" w:type="dxa"/>
            <w:tcBorders>
              <w:tl2br w:val="nil"/>
              <w:tr2bl w:val="nil"/>
            </w:tcBorders>
            <w:shd w:val="clear" w:color="auto" w:fill="auto"/>
            <w:vAlign w:val="bottom"/>
          </w:tcPr>
          <w:p w:rsidR="00D111C2" w:rsidRDefault="00D111C2" w:rsidP="00624AF8">
            <w:pPr>
              <w:widowControl/>
              <w:jc w:val="left"/>
              <w:textAlignment w:val="bottom"/>
              <w:rPr>
                <w:rFonts w:ascii="宋体" w:hAnsi="宋体" w:cs="宋体"/>
                <w:szCs w:val="21"/>
              </w:rPr>
            </w:pPr>
            <w:r>
              <w:rPr>
                <w:rFonts w:ascii="宋体" w:hAnsi="宋体" w:cs="宋体" w:hint="eastAsia"/>
                <w:kern w:val="0"/>
                <w:szCs w:val="21"/>
                <w:lang/>
              </w:rPr>
              <w:t>G</w:t>
            </w:r>
            <w:r>
              <w:rPr>
                <w:rStyle w:val="font11"/>
                <w:rFonts w:hint="default"/>
                <w:color w:val="auto"/>
                <w:sz w:val="21"/>
                <w:szCs w:val="21"/>
                <w:lang/>
              </w:rPr>
              <w:t>BW11120</w:t>
            </w:r>
          </w:p>
        </w:tc>
        <w:tc>
          <w:tcPr>
            <w:tcW w:w="1079" w:type="dxa"/>
            <w:tcBorders>
              <w:tl2br w:val="nil"/>
              <w:tr2bl w:val="nil"/>
            </w:tcBorders>
            <w:shd w:val="clear" w:color="auto" w:fill="auto"/>
            <w:vAlign w:val="bottom"/>
          </w:tcPr>
          <w:p w:rsidR="00D111C2" w:rsidRDefault="00D111C2" w:rsidP="00624AF8">
            <w:pPr>
              <w:widowControl/>
              <w:jc w:val="left"/>
              <w:textAlignment w:val="bottom"/>
              <w:rPr>
                <w:rFonts w:ascii="宋体" w:hAnsi="宋体" w:cs="宋体"/>
                <w:szCs w:val="21"/>
              </w:rPr>
            </w:pPr>
            <w:r>
              <w:rPr>
                <w:rFonts w:ascii="宋体" w:hAnsi="宋体" w:cs="宋体" w:hint="eastAsia"/>
                <w:kern w:val="0"/>
                <w:szCs w:val="21"/>
                <w:lang/>
              </w:rPr>
              <w:t>0.110 %</w:t>
            </w:r>
          </w:p>
        </w:tc>
        <w:tc>
          <w:tcPr>
            <w:tcW w:w="1126" w:type="dxa"/>
            <w:tcBorders>
              <w:tl2br w:val="nil"/>
              <w:tr2bl w:val="nil"/>
            </w:tcBorders>
            <w:shd w:val="clear" w:color="auto" w:fill="auto"/>
            <w:vAlign w:val="bottom"/>
          </w:tcPr>
          <w:p w:rsidR="00D111C2" w:rsidRDefault="00D111C2" w:rsidP="00624AF8">
            <w:pPr>
              <w:widowControl/>
              <w:jc w:val="left"/>
              <w:textAlignment w:val="bottom"/>
              <w:rPr>
                <w:rFonts w:ascii="宋体" w:hAnsi="宋体" w:cs="宋体"/>
                <w:szCs w:val="21"/>
              </w:rPr>
            </w:pPr>
            <w:r>
              <w:rPr>
                <w:rFonts w:ascii="宋体" w:hAnsi="宋体" w:cs="宋体" w:hint="eastAsia"/>
                <w:kern w:val="0"/>
                <w:szCs w:val="21"/>
                <w:lang/>
              </w:rPr>
              <w:t>0.006 %</w:t>
            </w:r>
          </w:p>
        </w:tc>
        <w:tc>
          <w:tcPr>
            <w:tcW w:w="1625" w:type="dxa"/>
            <w:tcBorders>
              <w:tl2br w:val="nil"/>
              <w:tr2bl w:val="nil"/>
            </w:tcBorders>
            <w:shd w:val="clear" w:color="auto" w:fill="auto"/>
            <w:vAlign w:val="bottom"/>
          </w:tcPr>
          <w:p w:rsidR="00D111C2" w:rsidRDefault="00D111C2" w:rsidP="00624AF8">
            <w:pPr>
              <w:widowControl/>
              <w:jc w:val="center"/>
              <w:textAlignment w:val="bottom"/>
              <w:rPr>
                <w:rFonts w:ascii="宋体" w:hAnsi="宋体" w:cs="宋体"/>
                <w:szCs w:val="21"/>
              </w:rPr>
            </w:pPr>
            <w:r>
              <w:rPr>
                <w:rFonts w:ascii="宋体" w:hAnsi="宋体" w:cs="宋体" w:hint="eastAsia"/>
                <w:kern w:val="0"/>
                <w:szCs w:val="21"/>
                <w:lang/>
              </w:rPr>
              <w:t>0.050</w:t>
            </w:r>
          </w:p>
        </w:tc>
        <w:tc>
          <w:tcPr>
            <w:tcW w:w="857" w:type="dxa"/>
            <w:tcBorders>
              <w:tl2br w:val="nil"/>
              <w:tr2bl w:val="nil"/>
            </w:tcBorders>
            <w:shd w:val="clear" w:color="auto" w:fill="auto"/>
            <w:vAlign w:val="bottom"/>
          </w:tcPr>
          <w:p w:rsidR="00D111C2" w:rsidRDefault="00D111C2" w:rsidP="00624AF8">
            <w:pPr>
              <w:widowControl/>
              <w:jc w:val="left"/>
              <w:textAlignment w:val="bottom"/>
              <w:rPr>
                <w:rFonts w:ascii="宋体" w:hAnsi="宋体" w:cs="宋体"/>
                <w:szCs w:val="21"/>
              </w:rPr>
            </w:pPr>
            <w:r>
              <w:rPr>
                <w:rFonts w:ascii="宋体" w:hAnsi="宋体" w:cs="宋体" w:hint="eastAsia"/>
                <w:kern w:val="0"/>
                <w:szCs w:val="21"/>
                <w:lang/>
              </w:rPr>
              <w:t>0.010 %</w:t>
            </w:r>
          </w:p>
        </w:tc>
        <w:tc>
          <w:tcPr>
            <w:tcW w:w="1061" w:type="dxa"/>
            <w:tcBorders>
              <w:tl2br w:val="nil"/>
              <w:tr2bl w:val="nil"/>
            </w:tcBorders>
            <w:shd w:val="clear" w:color="auto" w:fill="auto"/>
            <w:vAlign w:val="bottom"/>
          </w:tcPr>
          <w:p w:rsidR="00D111C2" w:rsidRDefault="00D111C2" w:rsidP="00624AF8">
            <w:pPr>
              <w:widowControl/>
              <w:jc w:val="left"/>
              <w:textAlignment w:val="bottom"/>
              <w:rPr>
                <w:rFonts w:ascii="宋体" w:hAnsi="宋体" w:cs="宋体"/>
                <w:szCs w:val="21"/>
              </w:rPr>
            </w:pPr>
            <w:r>
              <w:rPr>
                <w:rFonts w:ascii="宋体" w:hAnsi="宋体" w:cs="宋体" w:hint="eastAsia"/>
                <w:kern w:val="0"/>
                <w:szCs w:val="21"/>
                <w:lang/>
              </w:rPr>
              <w:t>0.009%</w:t>
            </w:r>
          </w:p>
        </w:tc>
      </w:tr>
    </w:tbl>
    <w:p w:rsidR="00D111C2" w:rsidRDefault="00D111C2" w:rsidP="00D111C2">
      <w:pPr>
        <w:spacing w:line="360" w:lineRule="auto"/>
        <w:jc w:val="center"/>
      </w:pPr>
    </w:p>
    <w:p w:rsidR="00D111C2" w:rsidRDefault="00D111C2" w:rsidP="00D111C2">
      <w:pPr>
        <w:numPr>
          <w:ilvl w:val="0"/>
          <w:numId w:val="1"/>
        </w:numPr>
        <w:spacing w:line="360" w:lineRule="auto"/>
      </w:pPr>
      <w:r>
        <w:rPr>
          <w:rFonts w:hint="eastAsia"/>
          <w:sz w:val="24"/>
        </w:rPr>
        <w:t>氟的示值误差解释。在（</w:t>
      </w:r>
      <w:r>
        <w:rPr>
          <w:rFonts w:hint="eastAsia"/>
          <w:sz w:val="24"/>
        </w:rPr>
        <w:t xml:space="preserve">50 </w:t>
      </w:r>
      <w:r>
        <w:rPr>
          <w:rFonts w:hint="eastAsia"/>
          <w:sz w:val="24"/>
        </w:rPr>
        <w:t>～</w:t>
      </w:r>
      <w:r>
        <w:rPr>
          <w:rFonts w:hint="eastAsia"/>
          <w:sz w:val="24"/>
        </w:rPr>
        <w:t xml:space="preserve"> 400</w:t>
      </w:r>
      <w:r>
        <w:rPr>
          <w:rFonts w:hint="eastAsia"/>
          <w:sz w:val="24"/>
        </w:rPr>
        <w:t>）μ</w:t>
      </w:r>
      <w:r>
        <w:rPr>
          <w:rFonts w:hint="eastAsia"/>
          <w:sz w:val="24"/>
        </w:rPr>
        <w:t>g/g</w:t>
      </w:r>
      <w:r>
        <w:rPr>
          <w:rFonts w:hint="eastAsia"/>
          <w:sz w:val="24"/>
        </w:rPr>
        <w:t>区段，主要是</w:t>
      </w:r>
      <w:proofErr w:type="gramStart"/>
      <w:r>
        <w:rPr>
          <w:rFonts w:hint="eastAsia"/>
          <w:sz w:val="24"/>
        </w:rPr>
        <w:t>因为测氟仪器</w:t>
      </w:r>
      <w:proofErr w:type="gramEnd"/>
      <w:r>
        <w:rPr>
          <w:rFonts w:hint="eastAsia"/>
          <w:sz w:val="24"/>
        </w:rPr>
        <w:t>在低氟测量段，其仪器示值误差与其测量示值关系不大，主要由仪器的结构等决定，初步分析为系统误差。考虑到重复性离散的影响和在大量的试验数据验证下，在（</w:t>
      </w:r>
      <w:r>
        <w:rPr>
          <w:rFonts w:hint="eastAsia"/>
          <w:sz w:val="24"/>
        </w:rPr>
        <w:t xml:space="preserve">50 </w:t>
      </w:r>
      <w:r>
        <w:rPr>
          <w:rFonts w:hint="eastAsia"/>
          <w:sz w:val="24"/>
        </w:rPr>
        <w:t>～</w:t>
      </w:r>
      <w:r>
        <w:rPr>
          <w:rFonts w:hint="eastAsia"/>
          <w:sz w:val="24"/>
        </w:rPr>
        <w:t xml:space="preserve"> 400</w:t>
      </w:r>
      <w:r>
        <w:rPr>
          <w:rFonts w:hint="eastAsia"/>
          <w:sz w:val="24"/>
        </w:rPr>
        <w:t>）μ</w:t>
      </w:r>
      <w:r>
        <w:rPr>
          <w:rFonts w:hint="eastAsia"/>
          <w:sz w:val="24"/>
        </w:rPr>
        <w:t>g/g</w:t>
      </w:r>
      <w:r>
        <w:rPr>
          <w:rFonts w:hint="eastAsia"/>
          <w:sz w:val="24"/>
        </w:rPr>
        <w:t>测量区段，通过大量试验和参照标准物质</w:t>
      </w:r>
      <w:r>
        <w:rPr>
          <w:rFonts w:hint="eastAsia"/>
          <w:sz w:val="24"/>
        </w:rPr>
        <w:t>GBW11121</w:t>
      </w:r>
      <w:r>
        <w:rPr>
          <w:rFonts w:hint="eastAsia"/>
          <w:sz w:val="24"/>
        </w:rPr>
        <w:t>～</w:t>
      </w:r>
      <w:r>
        <w:rPr>
          <w:rFonts w:hint="eastAsia"/>
          <w:sz w:val="24"/>
        </w:rPr>
        <w:t>GBW11123</w:t>
      </w:r>
      <w:r>
        <w:rPr>
          <w:rFonts w:hint="eastAsia"/>
          <w:sz w:val="24"/>
        </w:rPr>
        <w:t>中标准中用户扩展不确定度依次为（</w:t>
      </w:r>
      <w:r>
        <w:rPr>
          <w:rFonts w:hint="eastAsia"/>
          <w:sz w:val="24"/>
        </w:rPr>
        <w:t>247</w:t>
      </w:r>
      <w:r>
        <w:rPr>
          <w:rFonts w:hint="eastAsia"/>
          <w:sz w:val="24"/>
        </w:rPr>
        <w:t>±</w:t>
      </w:r>
      <w:r>
        <w:rPr>
          <w:rFonts w:hint="eastAsia"/>
          <w:sz w:val="24"/>
        </w:rPr>
        <w:t>15</w:t>
      </w:r>
      <w:r>
        <w:rPr>
          <w:rFonts w:hint="eastAsia"/>
          <w:sz w:val="24"/>
        </w:rPr>
        <w:t>）μ</w:t>
      </w:r>
      <w:r>
        <w:rPr>
          <w:rFonts w:hint="eastAsia"/>
          <w:sz w:val="24"/>
        </w:rPr>
        <w:t>g/g</w:t>
      </w:r>
      <w:r>
        <w:rPr>
          <w:rFonts w:hint="eastAsia"/>
          <w:sz w:val="24"/>
        </w:rPr>
        <w:t>，上述仪器示值误差依次对应为（</w:t>
      </w:r>
      <w:r>
        <w:rPr>
          <w:rFonts w:hint="eastAsia"/>
          <w:sz w:val="24"/>
        </w:rPr>
        <w:t>-18~21</w:t>
      </w:r>
      <w:r>
        <w:rPr>
          <w:rFonts w:hint="eastAsia"/>
          <w:sz w:val="24"/>
        </w:rPr>
        <w:t>）μ</w:t>
      </w:r>
      <w:r>
        <w:rPr>
          <w:rFonts w:hint="eastAsia"/>
          <w:sz w:val="24"/>
        </w:rPr>
        <w:t>g/g</w:t>
      </w:r>
      <w:r>
        <w:rPr>
          <w:rFonts w:hint="eastAsia"/>
          <w:sz w:val="24"/>
        </w:rPr>
        <w:t>，考虑到示值误差应为标准物质不确定度的</w:t>
      </w:r>
      <w:r>
        <w:rPr>
          <w:rFonts w:hint="eastAsia"/>
          <w:sz w:val="24"/>
        </w:rPr>
        <w:t>2~3</w:t>
      </w:r>
      <w:r>
        <w:rPr>
          <w:rFonts w:hint="eastAsia"/>
          <w:sz w:val="24"/>
        </w:rPr>
        <w:t>倍，并结合实际数据情况和对标准物质用户不确定度的评定，仪器示值误差采用最大允许误差衡量其限值为±</w:t>
      </w:r>
      <w:r>
        <w:rPr>
          <w:rFonts w:hint="eastAsia"/>
          <w:sz w:val="24"/>
        </w:rPr>
        <w:t>20</w:t>
      </w:r>
      <w:r>
        <w:rPr>
          <w:rFonts w:hint="eastAsia"/>
          <w:sz w:val="24"/>
        </w:rPr>
        <w:t>μ</w:t>
      </w:r>
      <w:r>
        <w:rPr>
          <w:rFonts w:hint="eastAsia"/>
          <w:sz w:val="24"/>
        </w:rPr>
        <w:t>g/g</w:t>
      </w:r>
      <w:r>
        <w:rPr>
          <w:rFonts w:hint="eastAsia"/>
          <w:sz w:val="24"/>
        </w:rPr>
        <w:t>。</w:t>
      </w:r>
    </w:p>
    <w:p w:rsidR="00D111C2" w:rsidRDefault="00D111C2" w:rsidP="00D111C2">
      <w:pPr>
        <w:spacing w:line="360" w:lineRule="auto"/>
        <w:ind w:firstLineChars="200" w:firstLine="480"/>
        <w:rPr>
          <w:sz w:val="24"/>
        </w:rPr>
      </w:pPr>
      <w:r>
        <w:rPr>
          <w:rFonts w:hint="eastAsia"/>
          <w:sz w:val="24"/>
        </w:rPr>
        <w:t>在（</w:t>
      </w:r>
      <w:r>
        <w:rPr>
          <w:rFonts w:hint="eastAsia"/>
          <w:sz w:val="24"/>
        </w:rPr>
        <w:t xml:space="preserve">400 </w:t>
      </w:r>
      <w:r>
        <w:rPr>
          <w:rFonts w:hint="eastAsia"/>
          <w:sz w:val="24"/>
        </w:rPr>
        <w:t>～</w:t>
      </w:r>
      <w:r>
        <w:rPr>
          <w:rFonts w:hint="eastAsia"/>
          <w:sz w:val="24"/>
        </w:rPr>
        <w:t xml:space="preserve"> 2000</w:t>
      </w:r>
      <w:r>
        <w:rPr>
          <w:rFonts w:hint="eastAsia"/>
          <w:sz w:val="24"/>
        </w:rPr>
        <w:t>）μ</w:t>
      </w:r>
      <w:r>
        <w:rPr>
          <w:rFonts w:hint="eastAsia"/>
          <w:sz w:val="24"/>
        </w:rPr>
        <w:t>g/g</w:t>
      </w:r>
      <w:r>
        <w:rPr>
          <w:rFonts w:hint="eastAsia"/>
          <w:sz w:val="24"/>
        </w:rPr>
        <w:t>区段，仪器的重复性与仪器测试的示值大小存在正相关（与斜率偏离有关），随着测量示值的增大，其测试数据示值比较离散，其直接影响示值误差的大小，通过大量试验和参照标准物质</w:t>
      </w:r>
      <w:r>
        <w:rPr>
          <w:rFonts w:hint="eastAsia"/>
          <w:sz w:val="24"/>
        </w:rPr>
        <w:t>GBW11122</w:t>
      </w:r>
      <w:r>
        <w:rPr>
          <w:rFonts w:hint="eastAsia"/>
          <w:sz w:val="24"/>
        </w:rPr>
        <w:t>～</w:t>
      </w:r>
      <w:r>
        <w:rPr>
          <w:rFonts w:hint="eastAsia"/>
          <w:sz w:val="24"/>
        </w:rPr>
        <w:t>GBW11123</w:t>
      </w:r>
      <w:r>
        <w:rPr>
          <w:rFonts w:hint="eastAsia"/>
          <w:sz w:val="24"/>
        </w:rPr>
        <w:t>中标准中用户扩展不确定度依次为（</w:t>
      </w:r>
      <w:r>
        <w:rPr>
          <w:rFonts w:hint="eastAsia"/>
          <w:sz w:val="24"/>
        </w:rPr>
        <w:t>864</w:t>
      </w:r>
      <w:r>
        <w:rPr>
          <w:rFonts w:hint="eastAsia"/>
          <w:sz w:val="24"/>
        </w:rPr>
        <w:t>±</w:t>
      </w:r>
      <w:r>
        <w:rPr>
          <w:rFonts w:hint="eastAsia"/>
          <w:sz w:val="24"/>
        </w:rPr>
        <w:t>20</w:t>
      </w:r>
      <w:r>
        <w:rPr>
          <w:rFonts w:hint="eastAsia"/>
          <w:sz w:val="24"/>
        </w:rPr>
        <w:t>）μ</w:t>
      </w:r>
      <w:r>
        <w:rPr>
          <w:rFonts w:hint="eastAsia"/>
          <w:sz w:val="24"/>
        </w:rPr>
        <w:t>g/g</w:t>
      </w:r>
      <w:r>
        <w:rPr>
          <w:rFonts w:hint="eastAsia"/>
          <w:sz w:val="24"/>
        </w:rPr>
        <w:t>、（</w:t>
      </w:r>
      <w:r>
        <w:rPr>
          <w:rFonts w:hint="eastAsia"/>
          <w:sz w:val="24"/>
        </w:rPr>
        <w:t>1496</w:t>
      </w:r>
      <w:r>
        <w:rPr>
          <w:rFonts w:hint="eastAsia"/>
          <w:sz w:val="24"/>
        </w:rPr>
        <w:t>±</w:t>
      </w:r>
      <w:r>
        <w:rPr>
          <w:rFonts w:hint="eastAsia"/>
          <w:sz w:val="24"/>
        </w:rPr>
        <w:t>30</w:t>
      </w:r>
      <w:r>
        <w:rPr>
          <w:rFonts w:hint="eastAsia"/>
          <w:sz w:val="24"/>
        </w:rPr>
        <w:t>）μ</w:t>
      </w:r>
      <w:r>
        <w:rPr>
          <w:rFonts w:hint="eastAsia"/>
          <w:sz w:val="24"/>
        </w:rPr>
        <w:t>g/g</w:t>
      </w:r>
      <w:r>
        <w:rPr>
          <w:rFonts w:hint="eastAsia"/>
          <w:sz w:val="24"/>
        </w:rPr>
        <w:t>，采用上述三种标煤试验，仪器测试数据应在范围内，仪器状态才可控，试验表明，上述仪器示值误差依次对应为（</w:t>
      </w:r>
      <w:r>
        <w:rPr>
          <w:rFonts w:hint="eastAsia"/>
          <w:sz w:val="24"/>
        </w:rPr>
        <w:t>-29~38</w:t>
      </w:r>
      <w:r>
        <w:rPr>
          <w:rFonts w:hint="eastAsia"/>
          <w:sz w:val="24"/>
        </w:rPr>
        <w:t>）μ</w:t>
      </w:r>
      <w:r>
        <w:rPr>
          <w:rFonts w:hint="eastAsia"/>
          <w:sz w:val="24"/>
        </w:rPr>
        <w:t>g/g</w:t>
      </w:r>
      <w:r>
        <w:rPr>
          <w:rFonts w:hint="eastAsia"/>
          <w:sz w:val="24"/>
        </w:rPr>
        <w:t>、（</w:t>
      </w:r>
      <w:r>
        <w:rPr>
          <w:rFonts w:hint="eastAsia"/>
          <w:sz w:val="24"/>
        </w:rPr>
        <w:t>-51~67</w:t>
      </w:r>
      <w:r>
        <w:rPr>
          <w:rFonts w:hint="eastAsia"/>
          <w:sz w:val="24"/>
        </w:rPr>
        <w:t>）μ</w:t>
      </w:r>
      <w:r>
        <w:rPr>
          <w:rFonts w:hint="eastAsia"/>
          <w:sz w:val="24"/>
        </w:rPr>
        <w:t>g/g</w:t>
      </w:r>
      <w:r>
        <w:rPr>
          <w:rFonts w:hint="eastAsia"/>
          <w:sz w:val="24"/>
        </w:rPr>
        <w:t>。考虑具体实际和示值误差与示值大小之间的相关性可设置此区段的相对示值误差为±</w:t>
      </w:r>
      <w:r>
        <w:rPr>
          <w:rFonts w:hint="eastAsia"/>
          <w:sz w:val="24"/>
        </w:rPr>
        <w:t>5%</w:t>
      </w:r>
      <w:r>
        <w:rPr>
          <w:rFonts w:hint="eastAsia"/>
          <w:sz w:val="24"/>
        </w:rPr>
        <w:t>。</w:t>
      </w:r>
    </w:p>
    <w:p w:rsidR="00D111C2" w:rsidRDefault="00D111C2" w:rsidP="00D111C2">
      <w:pPr>
        <w:numPr>
          <w:ilvl w:val="0"/>
          <w:numId w:val="2"/>
        </w:numPr>
        <w:spacing w:line="360" w:lineRule="auto"/>
        <w:ind w:firstLineChars="200" w:firstLine="480"/>
        <w:rPr>
          <w:sz w:val="24"/>
        </w:rPr>
      </w:pPr>
      <w:r>
        <w:rPr>
          <w:rFonts w:hint="eastAsia"/>
          <w:sz w:val="24"/>
        </w:rPr>
        <w:t>氯的示值误差解释。在（</w:t>
      </w:r>
      <w:r>
        <w:rPr>
          <w:rFonts w:hint="eastAsia"/>
          <w:sz w:val="24"/>
        </w:rPr>
        <w:t>0.010</w:t>
      </w:r>
      <w:r>
        <w:rPr>
          <w:rFonts w:hint="eastAsia"/>
          <w:sz w:val="24"/>
        </w:rPr>
        <w:t>～</w:t>
      </w:r>
      <w:r>
        <w:rPr>
          <w:rFonts w:hint="eastAsia"/>
          <w:sz w:val="24"/>
        </w:rPr>
        <w:t>0.050</w:t>
      </w:r>
      <w:r>
        <w:rPr>
          <w:rFonts w:hint="eastAsia"/>
          <w:sz w:val="24"/>
        </w:rPr>
        <w:t>）</w:t>
      </w:r>
      <w:r>
        <w:rPr>
          <w:rFonts w:hint="eastAsia"/>
          <w:sz w:val="24"/>
        </w:rPr>
        <w:t>%</w:t>
      </w:r>
      <w:r>
        <w:rPr>
          <w:rFonts w:hint="eastAsia"/>
          <w:sz w:val="24"/>
        </w:rPr>
        <w:t>测量区段，低浓度的</w:t>
      </w:r>
      <w:proofErr w:type="gramStart"/>
      <w:r>
        <w:rPr>
          <w:rFonts w:hint="eastAsia"/>
          <w:sz w:val="24"/>
        </w:rPr>
        <w:t>氯由于</w:t>
      </w:r>
      <w:proofErr w:type="gramEnd"/>
      <w:r>
        <w:rPr>
          <w:rFonts w:hint="eastAsia"/>
          <w:sz w:val="24"/>
        </w:rPr>
        <w:t>检测限和分辨力的影响，其示值误差值存在一个系统误差。通过大量试验验证和对标准物质</w:t>
      </w:r>
      <w:r>
        <w:rPr>
          <w:rFonts w:hint="eastAsia"/>
          <w:sz w:val="24"/>
        </w:rPr>
        <w:t>GBW11118</w:t>
      </w:r>
      <w:r>
        <w:rPr>
          <w:rFonts w:hint="eastAsia"/>
          <w:sz w:val="24"/>
        </w:rPr>
        <w:t>的试验和对其用户扩展不确定度的分析，上述仪器对</w:t>
      </w:r>
      <w:r>
        <w:rPr>
          <w:rFonts w:hint="eastAsia"/>
          <w:sz w:val="24"/>
        </w:rPr>
        <w:t>GBW11118</w:t>
      </w:r>
      <w:r>
        <w:rPr>
          <w:rFonts w:hint="eastAsia"/>
          <w:sz w:val="24"/>
        </w:rPr>
        <w:t>试验的示值误差在（</w:t>
      </w:r>
      <w:r>
        <w:rPr>
          <w:rFonts w:hint="eastAsia"/>
          <w:sz w:val="24"/>
        </w:rPr>
        <w:t>-0.003~0.004</w:t>
      </w:r>
      <w:r>
        <w:rPr>
          <w:rFonts w:hint="eastAsia"/>
          <w:sz w:val="24"/>
        </w:rPr>
        <w:t>）</w:t>
      </w:r>
      <w:r>
        <w:rPr>
          <w:rFonts w:hint="eastAsia"/>
          <w:sz w:val="24"/>
        </w:rPr>
        <w:t>%</w:t>
      </w:r>
      <w:r>
        <w:rPr>
          <w:rFonts w:hint="eastAsia"/>
          <w:sz w:val="24"/>
        </w:rPr>
        <w:t>，考虑到规范的适应性，此段示值误差（最大示值误差）为±</w:t>
      </w:r>
      <w:r>
        <w:rPr>
          <w:rFonts w:hint="eastAsia"/>
          <w:sz w:val="24"/>
        </w:rPr>
        <w:t>0.005%</w:t>
      </w:r>
      <w:r>
        <w:rPr>
          <w:rFonts w:hint="eastAsia"/>
          <w:sz w:val="24"/>
        </w:rPr>
        <w:t>。</w:t>
      </w:r>
    </w:p>
    <w:p w:rsidR="00D111C2" w:rsidRDefault="00D111C2" w:rsidP="00D111C2">
      <w:pPr>
        <w:spacing w:line="360" w:lineRule="auto"/>
        <w:ind w:firstLineChars="200" w:firstLine="480"/>
        <w:rPr>
          <w:sz w:val="24"/>
        </w:rPr>
      </w:pPr>
      <w:r>
        <w:rPr>
          <w:rFonts w:hint="eastAsia"/>
          <w:sz w:val="24"/>
        </w:rPr>
        <w:t>在（</w:t>
      </w:r>
      <w:r>
        <w:rPr>
          <w:rFonts w:hint="eastAsia"/>
          <w:sz w:val="24"/>
        </w:rPr>
        <w:t>0.050</w:t>
      </w:r>
      <w:r>
        <w:rPr>
          <w:rFonts w:hint="eastAsia"/>
          <w:sz w:val="24"/>
        </w:rPr>
        <w:t>～</w:t>
      </w:r>
      <w:r>
        <w:rPr>
          <w:rFonts w:hint="eastAsia"/>
          <w:sz w:val="24"/>
        </w:rPr>
        <w:t>0.300</w:t>
      </w:r>
      <w:r>
        <w:rPr>
          <w:rFonts w:hint="eastAsia"/>
          <w:sz w:val="24"/>
        </w:rPr>
        <w:t>）</w:t>
      </w:r>
      <w:r>
        <w:rPr>
          <w:rFonts w:hint="eastAsia"/>
          <w:sz w:val="24"/>
        </w:rPr>
        <w:t>%</w:t>
      </w:r>
      <w:r>
        <w:rPr>
          <w:rFonts w:hint="eastAsia"/>
          <w:sz w:val="24"/>
        </w:rPr>
        <w:t>测量区段，示值误差与示值大小存在线性相关，因此最大示值误差采用相对误差表示。通过大量试验验证和对标准物质</w:t>
      </w:r>
      <w:r>
        <w:rPr>
          <w:rFonts w:hint="eastAsia"/>
          <w:sz w:val="24"/>
        </w:rPr>
        <w:t>GBW11119</w:t>
      </w:r>
      <w:r>
        <w:rPr>
          <w:rFonts w:hint="eastAsia"/>
          <w:sz w:val="24"/>
        </w:rPr>
        <w:t>和</w:t>
      </w:r>
      <w:r>
        <w:rPr>
          <w:rFonts w:hint="eastAsia"/>
          <w:sz w:val="24"/>
        </w:rPr>
        <w:t>GBW11120</w:t>
      </w:r>
      <w:r>
        <w:rPr>
          <w:rFonts w:hint="eastAsia"/>
          <w:sz w:val="24"/>
        </w:rPr>
        <w:t>的试验和对其用户扩展不确定度的分析，上述仪器对</w:t>
      </w:r>
      <w:r>
        <w:rPr>
          <w:rFonts w:hint="eastAsia"/>
          <w:sz w:val="24"/>
        </w:rPr>
        <w:t>GBW11119</w:t>
      </w:r>
      <w:r>
        <w:rPr>
          <w:rFonts w:hint="eastAsia"/>
          <w:sz w:val="24"/>
        </w:rPr>
        <w:t>和</w:t>
      </w:r>
      <w:r>
        <w:rPr>
          <w:rFonts w:hint="eastAsia"/>
          <w:sz w:val="24"/>
        </w:rPr>
        <w:t>GBW11120</w:t>
      </w:r>
      <w:r>
        <w:rPr>
          <w:rFonts w:hint="eastAsia"/>
          <w:sz w:val="24"/>
        </w:rPr>
        <w:t>试验的示值误差相对值在（</w:t>
      </w:r>
      <w:r>
        <w:rPr>
          <w:rFonts w:hint="eastAsia"/>
          <w:sz w:val="24"/>
        </w:rPr>
        <w:t>-7.0%</w:t>
      </w:r>
      <w:r>
        <w:rPr>
          <w:rFonts w:hint="eastAsia"/>
          <w:sz w:val="24"/>
        </w:rPr>
        <w:t>～</w:t>
      </w:r>
      <w:r>
        <w:rPr>
          <w:rFonts w:hint="eastAsia"/>
          <w:sz w:val="24"/>
        </w:rPr>
        <w:t>5.2%</w:t>
      </w:r>
      <w:r>
        <w:rPr>
          <w:rFonts w:hint="eastAsia"/>
          <w:sz w:val="24"/>
        </w:rPr>
        <w:t>），考虑到规范的适应性，此段最大示值误差采用相对误差表示为±</w:t>
      </w:r>
      <w:r>
        <w:rPr>
          <w:rFonts w:hint="eastAsia"/>
          <w:sz w:val="24"/>
        </w:rPr>
        <w:t>10%</w:t>
      </w:r>
      <w:r>
        <w:rPr>
          <w:rFonts w:hint="eastAsia"/>
          <w:sz w:val="24"/>
        </w:rPr>
        <w:t>。</w:t>
      </w:r>
    </w:p>
    <w:p w:rsidR="00570778" w:rsidRDefault="00D01B3C">
      <w:pPr>
        <w:spacing w:line="360" w:lineRule="auto"/>
        <w:ind w:firstLineChars="200" w:firstLine="480"/>
        <w:rPr>
          <w:sz w:val="24"/>
        </w:rPr>
      </w:pPr>
      <w:r>
        <w:rPr>
          <w:rFonts w:hint="eastAsia"/>
          <w:sz w:val="24"/>
        </w:rPr>
        <w:lastRenderedPageBreak/>
        <w:t>示值误差是与标准物质的干基值进行比较，因此实验前需对煤样水分进行测定。部分标准物质由于历史原因其标值是为空气干燥基值，起草人与煤科院专家进行沟通，以后均会采用干基值作为证书值。现有空气干燥基值采用经典法测出内水后进行换算作为干基证书值。</w:t>
      </w:r>
    </w:p>
    <w:p w:rsidR="00570778" w:rsidRDefault="00D01B3C">
      <w:pPr>
        <w:spacing w:line="360" w:lineRule="auto"/>
        <w:rPr>
          <w:sz w:val="24"/>
        </w:rPr>
      </w:pPr>
      <w:r>
        <w:rPr>
          <w:rFonts w:hint="eastAsia"/>
          <w:sz w:val="24"/>
        </w:rPr>
        <w:t xml:space="preserve">5 </w:t>
      </w:r>
      <w:r>
        <w:rPr>
          <w:rFonts w:hint="eastAsia"/>
          <w:sz w:val="24"/>
        </w:rPr>
        <w:t>不确定度评定</w:t>
      </w:r>
    </w:p>
    <w:p w:rsidR="00570778" w:rsidRDefault="00D01B3C">
      <w:pPr>
        <w:spacing w:line="360" w:lineRule="auto"/>
        <w:ind w:firstLineChars="200" w:firstLine="480"/>
        <w:rPr>
          <w:sz w:val="24"/>
        </w:rPr>
      </w:pPr>
      <w:r>
        <w:rPr>
          <w:rFonts w:hint="eastAsia"/>
          <w:sz w:val="24"/>
        </w:rPr>
        <w:t>在校准规范中分别给出了</w:t>
      </w:r>
      <w:r>
        <w:rPr>
          <w:rFonts w:hint="eastAsia"/>
          <w:sz w:val="24"/>
        </w:rPr>
        <w:t>煤中</w:t>
      </w:r>
      <w:r>
        <w:rPr>
          <w:rFonts w:hint="eastAsia"/>
          <w:sz w:val="24"/>
        </w:rPr>
        <w:t>氟</w:t>
      </w:r>
      <w:r>
        <w:rPr>
          <w:rFonts w:hint="eastAsia"/>
          <w:sz w:val="24"/>
        </w:rPr>
        <w:t>/</w:t>
      </w:r>
      <w:r>
        <w:rPr>
          <w:rFonts w:hint="eastAsia"/>
          <w:sz w:val="24"/>
        </w:rPr>
        <w:t>氯测定仪不确定度评定示例，其不确定度来源均详细描述和计算，在此不作详细的编制说明。</w:t>
      </w:r>
    </w:p>
    <w:p w:rsidR="00570778" w:rsidRDefault="00570778">
      <w:pPr>
        <w:spacing w:line="360" w:lineRule="auto"/>
        <w:ind w:firstLineChars="200" w:firstLine="480"/>
        <w:rPr>
          <w:sz w:val="24"/>
        </w:rPr>
      </w:pPr>
    </w:p>
    <w:p w:rsidR="00570778" w:rsidRDefault="00570778">
      <w:pPr>
        <w:spacing w:line="360" w:lineRule="auto"/>
        <w:ind w:firstLineChars="200" w:firstLine="480"/>
        <w:rPr>
          <w:sz w:val="24"/>
        </w:rPr>
      </w:pPr>
    </w:p>
    <w:p w:rsidR="00570778" w:rsidRDefault="00570778">
      <w:pPr>
        <w:spacing w:line="360" w:lineRule="auto"/>
        <w:ind w:firstLineChars="200" w:firstLine="480"/>
        <w:rPr>
          <w:sz w:val="24"/>
        </w:rPr>
      </w:pPr>
    </w:p>
    <w:p w:rsidR="00570778" w:rsidRDefault="00570778">
      <w:pPr>
        <w:spacing w:line="360" w:lineRule="auto"/>
        <w:ind w:firstLineChars="200" w:firstLine="480"/>
        <w:rPr>
          <w:sz w:val="24"/>
        </w:rPr>
      </w:pPr>
    </w:p>
    <w:p w:rsidR="00570778" w:rsidRDefault="00570778">
      <w:pPr>
        <w:spacing w:line="360" w:lineRule="auto"/>
        <w:ind w:firstLineChars="200" w:firstLine="480"/>
        <w:rPr>
          <w:sz w:val="24"/>
        </w:rPr>
      </w:pPr>
    </w:p>
    <w:p w:rsidR="00570778" w:rsidRDefault="00570778">
      <w:pPr>
        <w:spacing w:line="360" w:lineRule="auto"/>
        <w:ind w:firstLineChars="200" w:firstLine="480"/>
        <w:rPr>
          <w:sz w:val="24"/>
        </w:rPr>
      </w:pPr>
    </w:p>
    <w:p w:rsidR="00570778" w:rsidRDefault="00570778">
      <w:pPr>
        <w:spacing w:line="360" w:lineRule="auto"/>
        <w:ind w:firstLineChars="200" w:firstLine="480"/>
        <w:rPr>
          <w:sz w:val="24"/>
        </w:rPr>
      </w:pPr>
    </w:p>
    <w:p w:rsidR="00570778" w:rsidRDefault="00570778">
      <w:pPr>
        <w:spacing w:line="360" w:lineRule="auto"/>
        <w:ind w:firstLineChars="200" w:firstLine="480"/>
        <w:rPr>
          <w:sz w:val="24"/>
        </w:rPr>
      </w:pPr>
    </w:p>
    <w:p w:rsidR="00570778" w:rsidRDefault="00570778">
      <w:pPr>
        <w:spacing w:line="360" w:lineRule="auto"/>
        <w:ind w:firstLineChars="200" w:firstLine="480"/>
        <w:rPr>
          <w:sz w:val="24"/>
        </w:rPr>
      </w:pPr>
    </w:p>
    <w:p w:rsidR="00570778" w:rsidRDefault="00570778">
      <w:pPr>
        <w:spacing w:line="360" w:lineRule="auto"/>
        <w:ind w:firstLineChars="200" w:firstLine="480"/>
        <w:rPr>
          <w:sz w:val="24"/>
        </w:rPr>
      </w:pPr>
    </w:p>
    <w:p w:rsidR="00570778" w:rsidRDefault="00570778">
      <w:pPr>
        <w:spacing w:line="360" w:lineRule="auto"/>
        <w:ind w:firstLineChars="200" w:firstLine="480"/>
        <w:rPr>
          <w:sz w:val="24"/>
        </w:rPr>
      </w:pPr>
    </w:p>
    <w:p w:rsidR="00570778" w:rsidRDefault="00570778">
      <w:pPr>
        <w:spacing w:line="360" w:lineRule="auto"/>
        <w:ind w:firstLineChars="200" w:firstLine="480"/>
        <w:rPr>
          <w:sz w:val="24"/>
        </w:rPr>
      </w:pPr>
    </w:p>
    <w:p w:rsidR="00570778" w:rsidRDefault="00570778">
      <w:pPr>
        <w:spacing w:line="360" w:lineRule="auto"/>
        <w:ind w:firstLineChars="200" w:firstLine="480"/>
        <w:rPr>
          <w:sz w:val="24"/>
        </w:rPr>
      </w:pPr>
    </w:p>
    <w:p w:rsidR="00570778" w:rsidRDefault="00570778">
      <w:pPr>
        <w:spacing w:line="360" w:lineRule="auto"/>
        <w:ind w:firstLineChars="200" w:firstLine="480"/>
        <w:rPr>
          <w:sz w:val="24"/>
        </w:rPr>
      </w:pPr>
    </w:p>
    <w:p w:rsidR="00570778" w:rsidRDefault="00570778">
      <w:pPr>
        <w:spacing w:line="360" w:lineRule="auto"/>
        <w:ind w:firstLineChars="200" w:firstLine="480"/>
        <w:rPr>
          <w:sz w:val="24"/>
        </w:rPr>
      </w:pPr>
    </w:p>
    <w:p w:rsidR="00570778" w:rsidRDefault="00570778">
      <w:pPr>
        <w:spacing w:line="360" w:lineRule="auto"/>
        <w:ind w:firstLineChars="200" w:firstLine="480"/>
        <w:rPr>
          <w:sz w:val="24"/>
        </w:rPr>
      </w:pPr>
    </w:p>
    <w:p w:rsidR="00570778" w:rsidRDefault="00570778">
      <w:pPr>
        <w:spacing w:line="360" w:lineRule="auto"/>
        <w:ind w:firstLineChars="200" w:firstLine="480"/>
        <w:rPr>
          <w:sz w:val="24"/>
        </w:rPr>
      </w:pPr>
    </w:p>
    <w:p w:rsidR="00570778" w:rsidRDefault="00570778">
      <w:pPr>
        <w:spacing w:line="360" w:lineRule="auto"/>
        <w:rPr>
          <w:sz w:val="24"/>
        </w:rPr>
      </w:pPr>
    </w:p>
    <w:sectPr w:rsidR="00570778" w:rsidSect="00570778">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1B3C" w:rsidRDefault="00D01B3C" w:rsidP="00570778">
      <w:r>
        <w:separator/>
      </w:r>
    </w:p>
  </w:endnote>
  <w:endnote w:type="continuationSeparator" w:id="0">
    <w:p w:rsidR="00D01B3C" w:rsidRDefault="00D01B3C" w:rsidP="0057077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0030101010101"/>
    <w:charset w:val="86"/>
    <w:family w:val="auto"/>
    <w:pitch w:val="variable"/>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0778" w:rsidRDefault="00570778">
    <w:pPr>
      <w:pStyle w:val="a4"/>
      <w:framePr w:wrap="around" w:vAnchor="text" w:hAnchor="margin" w:xAlign="center" w:y="1"/>
      <w:rPr>
        <w:rStyle w:val="a6"/>
      </w:rPr>
    </w:pPr>
    <w:r>
      <w:fldChar w:fldCharType="begin"/>
    </w:r>
    <w:r w:rsidR="00D01B3C">
      <w:rPr>
        <w:rStyle w:val="a6"/>
      </w:rPr>
      <w:instrText xml:space="preserve">PAGE  </w:instrText>
    </w:r>
    <w:r>
      <w:fldChar w:fldCharType="end"/>
    </w:r>
  </w:p>
  <w:p w:rsidR="00570778" w:rsidRDefault="00570778">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0778" w:rsidRDefault="00570778">
    <w:pPr>
      <w:pStyle w:val="a4"/>
      <w:framePr w:wrap="around" w:vAnchor="text" w:hAnchor="margin" w:xAlign="center" w:y="1"/>
      <w:rPr>
        <w:rStyle w:val="a6"/>
      </w:rPr>
    </w:pPr>
    <w:r>
      <w:fldChar w:fldCharType="begin"/>
    </w:r>
    <w:r w:rsidR="00D01B3C">
      <w:rPr>
        <w:rStyle w:val="a6"/>
      </w:rPr>
      <w:instrText xml:space="preserve">PAGE  </w:instrText>
    </w:r>
    <w:r>
      <w:fldChar w:fldCharType="separate"/>
    </w:r>
    <w:r w:rsidR="00D111C2">
      <w:rPr>
        <w:rStyle w:val="a6"/>
        <w:noProof/>
      </w:rPr>
      <w:t>7</w:t>
    </w:r>
    <w:r>
      <w:fldChar w:fldCharType="end"/>
    </w:r>
  </w:p>
  <w:p w:rsidR="00570778" w:rsidRDefault="00570778">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0778" w:rsidRDefault="00570778">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1B3C" w:rsidRDefault="00D01B3C" w:rsidP="00570778">
      <w:r>
        <w:separator/>
      </w:r>
    </w:p>
  </w:footnote>
  <w:footnote w:type="continuationSeparator" w:id="0">
    <w:p w:rsidR="00D01B3C" w:rsidRDefault="00D01B3C" w:rsidP="0057077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0778" w:rsidRDefault="00570778">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0778" w:rsidRDefault="00570778">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0778" w:rsidRDefault="00570778">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4C36116"/>
    <w:multiLevelType w:val="singleLevel"/>
    <w:tmpl w:val="34C36116"/>
    <w:lvl w:ilvl="0">
      <w:start w:val="1"/>
      <w:numFmt w:val="decimal"/>
      <w:suff w:val="nothing"/>
      <w:lvlText w:val="%1）"/>
      <w:lvlJc w:val="left"/>
    </w:lvl>
  </w:abstractNum>
  <w:abstractNum w:abstractNumId="1">
    <w:nsid w:val="3BE0ED0E"/>
    <w:multiLevelType w:val="singleLevel"/>
    <w:tmpl w:val="3BE0ED0E"/>
    <w:lvl w:ilvl="0">
      <w:start w:val="2"/>
      <w:numFmt w:val="decimal"/>
      <w:suff w:val="nothing"/>
      <w:lvlText w:val="%1）"/>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420"/>
  <w:drawingGridVerticalSpacing w:val="156"/>
  <w:noPunctuationKerning/>
  <w:characterSpacingControl w:val="compressPunctuation"/>
  <w:doNotValidateAgainstSchema/>
  <w:doNotDemarcateInvalidXml/>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172A27"/>
    <w:rsid w:val="00016779"/>
    <w:rsid w:val="0004756B"/>
    <w:rsid w:val="00054207"/>
    <w:rsid w:val="00066AE9"/>
    <w:rsid w:val="00072C95"/>
    <w:rsid w:val="00086781"/>
    <w:rsid w:val="000D38FF"/>
    <w:rsid w:val="000E1F6D"/>
    <w:rsid w:val="000E2D6C"/>
    <w:rsid w:val="00112C0D"/>
    <w:rsid w:val="001462B2"/>
    <w:rsid w:val="001642B7"/>
    <w:rsid w:val="00172A27"/>
    <w:rsid w:val="001C0961"/>
    <w:rsid w:val="001C58FE"/>
    <w:rsid w:val="002559E5"/>
    <w:rsid w:val="00262454"/>
    <w:rsid w:val="0027492C"/>
    <w:rsid w:val="002E7CD1"/>
    <w:rsid w:val="002F6EE8"/>
    <w:rsid w:val="003026F9"/>
    <w:rsid w:val="00337920"/>
    <w:rsid w:val="003761B4"/>
    <w:rsid w:val="003C24D1"/>
    <w:rsid w:val="003E0479"/>
    <w:rsid w:val="004469E1"/>
    <w:rsid w:val="004571BB"/>
    <w:rsid w:val="004821AD"/>
    <w:rsid w:val="004C4964"/>
    <w:rsid w:val="00503220"/>
    <w:rsid w:val="00531119"/>
    <w:rsid w:val="00545004"/>
    <w:rsid w:val="005656E8"/>
    <w:rsid w:val="00570778"/>
    <w:rsid w:val="00573C3A"/>
    <w:rsid w:val="00593936"/>
    <w:rsid w:val="005C1312"/>
    <w:rsid w:val="005E5E36"/>
    <w:rsid w:val="006134FF"/>
    <w:rsid w:val="006410D4"/>
    <w:rsid w:val="00641F88"/>
    <w:rsid w:val="0065078D"/>
    <w:rsid w:val="0066603C"/>
    <w:rsid w:val="006852F2"/>
    <w:rsid w:val="00687049"/>
    <w:rsid w:val="006B75F5"/>
    <w:rsid w:val="006C7D51"/>
    <w:rsid w:val="006E7ECC"/>
    <w:rsid w:val="00703866"/>
    <w:rsid w:val="007240D1"/>
    <w:rsid w:val="007271FF"/>
    <w:rsid w:val="00776FEB"/>
    <w:rsid w:val="00783ED5"/>
    <w:rsid w:val="00796C2D"/>
    <w:rsid w:val="007D1091"/>
    <w:rsid w:val="007E3603"/>
    <w:rsid w:val="0088466F"/>
    <w:rsid w:val="00887B1C"/>
    <w:rsid w:val="008A45DC"/>
    <w:rsid w:val="008E7D84"/>
    <w:rsid w:val="009048C6"/>
    <w:rsid w:val="0099216F"/>
    <w:rsid w:val="009F4A38"/>
    <w:rsid w:val="00A27BB4"/>
    <w:rsid w:val="00A55BC3"/>
    <w:rsid w:val="00AF3954"/>
    <w:rsid w:val="00B03EAC"/>
    <w:rsid w:val="00B14E00"/>
    <w:rsid w:val="00B429CD"/>
    <w:rsid w:val="00B52105"/>
    <w:rsid w:val="00B6346F"/>
    <w:rsid w:val="00B7215E"/>
    <w:rsid w:val="00B82B06"/>
    <w:rsid w:val="00CB5027"/>
    <w:rsid w:val="00D018C9"/>
    <w:rsid w:val="00D01B3C"/>
    <w:rsid w:val="00D111C2"/>
    <w:rsid w:val="00D73CD6"/>
    <w:rsid w:val="00E05771"/>
    <w:rsid w:val="00E20801"/>
    <w:rsid w:val="00E408CB"/>
    <w:rsid w:val="00E62C4D"/>
    <w:rsid w:val="00E914E8"/>
    <w:rsid w:val="00EE7CCC"/>
    <w:rsid w:val="00EF1B93"/>
    <w:rsid w:val="00F12E3B"/>
    <w:rsid w:val="00F34BEB"/>
    <w:rsid w:val="00F4185C"/>
    <w:rsid w:val="00FE01FF"/>
    <w:rsid w:val="016918D6"/>
    <w:rsid w:val="019E09E8"/>
    <w:rsid w:val="02DC5CB8"/>
    <w:rsid w:val="02F5791A"/>
    <w:rsid w:val="03387E13"/>
    <w:rsid w:val="03441051"/>
    <w:rsid w:val="04CF1379"/>
    <w:rsid w:val="07223C21"/>
    <w:rsid w:val="0723689D"/>
    <w:rsid w:val="0B7521C8"/>
    <w:rsid w:val="0BC475DE"/>
    <w:rsid w:val="0BDD2E40"/>
    <w:rsid w:val="0EB525D8"/>
    <w:rsid w:val="0F8E2FB5"/>
    <w:rsid w:val="10541BEC"/>
    <w:rsid w:val="12B17A06"/>
    <w:rsid w:val="138633CD"/>
    <w:rsid w:val="16C84C36"/>
    <w:rsid w:val="16E30106"/>
    <w:rsid w:val="175F267E"/>
    <w:rsid w:val="1D5F60E1"/>
    <w:rsid w:val="1D6B573B"/>
    <w:rsid w:val="20B7584C"/>
    <w:rsid w:val="23CB24FF"/>
    <w:rsid w:val="24655179"/>
    <w:rsid w:val="24724BFE"/>
    <w:rsid w:val="24A45402"/>
    <w:rsid w:val="24E2025A"/>
    <w:rsid w:val="252373DB"/>
    <w:rsid w:val="26AE358B"/>
    <w:rsid w:val="26D206B1"/>
    <w:rsid w:val="29DD6170"/>
    <w:rsid w:val="2A4B47D8"/>
    <w:rsid w:val="2BA86C8B"/>
    <w:rsid w:val="30762FA1"/>
    <w:rsid w:val="344149A5"/>
    <w:rsid w:val="365A494A"/>
    <w:rsid w:val="369814D8"/>
    <w:rsid w:val="37C63D1D"/>
    <w:rsid w:val="38D97B2E"/>
    <w:rsid w:val="394C3BA1"/>
    <w:rsid w:val="39E95A50"/>
    <w:rsid w:val="3A0A659F"/>
    <w:rsid w:val="3A394FA1"/>
    <w:rsid w:val="3C8D209F"/>
    <w:rsid w:val="3D6039C4"/>
    <w:rsid w:val="41011C25"/>
    <w:rsid w:val="41376BC2"/>
    <w:rsid w:val="420E1F84"/>
    <w:rsid w:val="45A352A1"/>
    <w:rsid w:val="47310F09"/>
    <w:rsid w:val="47322A2A"/>
    <w:rsid w:val="48C960FE"/>
    <w:rsid w:val="4924273C"/>
    <w:rsid w:val="4EAC7640"/>
    <w:rsid w:val="4F567613"/>
    <w:rsid w:val="505A5E80"/>
    <w:rsid w:val="509F5630"/>
    <w:rsid w:val="5102158B"/>
    <w:rsid w:val="51831ABC"/>
    <w:rsid w:val="518C0D00"/>
    <w:rsid w:val="52705671"/>
    <w:rsid w:val="52B03947"/>
    <w:rsid w:val="538B2EF4"/>
    <w:rsid w:val="54D14284"/>
    <w:rsid w:val="555D5E93"/>
    <w:rsid w:val="572D21B4"/>
    <w:rsid w:val="58094EAF"/>
    <w:rsid w:val="59AF6C18"/>
    <w:rsid w:val="5A345E7C"/>
    <w:rsid w:val="5A715A74"/>
    <w:rsid w:val="5A7444A5"/>
    <w:rsid w:val="5CB75468"/>
    <w:rsid w:val="60E54DC8"/>
    <w:rsid w:val="62AD6F4A"/>
    <w:rsid w:val="64BF7E7D"/>
    <w:rsid w:val="660A1FF9"/>
    <w:rsid w:val="665D5633"/>
    <w:rsid w:val="66B617F3"/>
    <w:rsid w:val="68B30298"/>
    <w:rsid w:val="68CB74D8"/>
    <w:rsid w:val="6AAF1D3F"/>
    <w:rsid w:val="6AF700F9"/>
    <w:rsid w:val="6BA131E2"/>
    <w:rsid w:val="6CA8188C"/>
    <w:rsid w:val="6CC61F0A"/>
    <w:rsid w:val="6E261404"/>
    <w:rsid w:val="700360EE"/>
    <w:rsid w:val="708218F1"/>
    <w:rsid w:val="70DC2F52"/>
    <w:rsid w:val="739A1B9E"/>
    <w:rsid w:val="73D6296E"/>
    <w:rsid w:val="74F45BB3"/>
    <w:rsid w:val="7727301C"/>
    <w:rsid w:val="781453F0"/>
    <w:rsid w:val="7A933D4A"/>
    <w:rsid w:val="7B4A25A5"/>
    <w:rsid w:val="7BFB5F61"/>
    <w:rsid w:val="7E0A187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qFormat="1"/>
    <w:lsdException w:name="footer" w:semiHidden="0" w:uiPriority="0" w:unhideWhenUsed="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Hyperlink" w:semiHidden="0" w:uiPriority="0"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0" w:unhideWhenUsed="0" w:qFormat="1"/>
    <w:lsdException w:name="Table Theme"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0778"/>
    <w:pPr>
      <w:widowControl w:val="0"/>
      <w:jc w:val="both"/>
    </w:pPr>
    <w:rPr>
      <w:kern w:val="2"/>
      <w:sz w:val="21"/>
      <w:szCs w:val="24"/>
    </w:rPr>
  </w:style>
  <w:style w:type="paragraph" w:styleId="3">
    <w:name w:val="heading 3"/>
    <w:basedOn w:val="a"/>
    <w:next w:val="a"/>
    <w:uiPriority w:val="9"/>
    <w:semiHidden/>
    <w:unhideWhenUsed/>
    <w:qFormat/>
    <w:rsid w:val="00570778"/>
    <w:pPr>
      <w:spacing w:beforeAutospacing="1" w:afterAutospacing="1"/>
      <w:jc w:val="left"/>
      <w:outlineLvl w:val="2"/>
    </w:pPr>
    <w:rPr>
      <w:rFonts w:ascii="宋体" w:hAnsi="宋体" w:hint="eastAsia"/>
      <w:b/>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570778"/>
    <w:rPr>
      <w:sz w:val="18"/>
      <w:szCs w:val="18"/>
    </w:rPr>
  </w:style>
  <w:style w:type="paragraph" w:styleId="a4">
    <w:name w:val="footer"/>
    <w:basedOn w:val="a"/>
    <w:qFormat/>
    <w:rsid w:val="00570778"/>
    <w:pPr>
      <w:tabs>
        <w:tab w:val="center" w:pos="4153"/>
        <w:tab w:val="right" w:pos="8306"/>
      </w:tabs>
      <w:snapToGrid w:val="0"/>
      <w:jc w:val="left"/>
    </w:pPr>
    <w:rPr>
      <w:sz w:val="18"/>
      <w:szCs w:val="18"/>
    </w:rPr>
  </w:style>
  <w:style w:type="paragraph" w:styleId="a5">
    <w:name w:val="header"/>
    <w:basedOn w:val="a"/>
    <w:qFormat/>
    <w:rsid w:val="00570778"/>
    <w:pPr>
      <w:pBdr>
        <w:bottom w:val="single" w:sz="6" w:space="1" w:color="auto"/>
      </w:pBdr>
      <w:tabs>
        <w:tab w:val="center" w:pos="4153"/>
        <w:tab w:val="right" w:pos="8306"/>
      </w:tabs>
      <w:snapToGrid w:val="0"/>
      <w:jc w:val="center"/>
    </w:pPr>
    <w:rPr>
      <w:sz w:val="18"/>
      <w:szCs w:val="18"/>
    </w:rPr>
  </w:style>
  <w:style w:type="character" w:styleId="a6">
    <w:name w:val="page number"/>
    <w:basedOn w:val="a0"/>
    <w:qFormat/>
    <w:rsid w:val="00570778"/>
  </w:style>
  <w:style w:type="character" w:styleId="a7">
    <w:name w:val="Hyperlink"/>
    <w:basedOn w:val="a0"/>
    <w:qFormat/>
    <w:rsid w:val="00570778"/>
    <w:rPr>
      <w:color w:val="0000FF"/>
      <w:u w:val="single"/>
    </w:rPr>
  </w:style>
  <w:style w:type="table" w:styleId="a8">
    <w:name w:val="Table Grid"/>
    <w:basedOn w:val="a1"/>
    <w:qFormat/>
    <w:rsid w:val="0057077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9">
    <w:name w:val="Table Theme"/>
    <w:basedOn w:val="a1"/>
    <w:qFormat/>
    <w:rsid w:val="0057077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CharCharCharChar">
    <w:name w:val="Char Char Char Char Char Char Char Char Char Char Char Char Char Char Char Char"/>
    <w:basedOn w:val="a"/>
    <w:qFormat/>
    <w:rsid w:val="00570778"/>
    <w:pPr>
      <w:tabs>
        <w:tab w:val="left" w:pos="360"/>
      </w:tabs>
    </w:pPr>
  </w:style>
  <w:style w:type="paragraph" w:customStyle="1" w:styleId="aa">
    <w:name w:val="表格"/>
    <w:basedOn w:val="a"/>
    <w:qFormat/>
    <w:rsid w:val="00570778"/>
    <w:pPr>
      <w:topLinePunct/>
      <w:spacing w:line="360" w:lineRule="auto"/>
      <w:jc w:val="center"/>
    </w:pPr>
    <w:rPr>
      <w:rFonts w:eastAsia="仿宋_GB2312"/>
      <w:sz w:val="24"/>
    </w:rPr>
  </w:style>
  <w:style w:type="paragraph" w:customStyle="1" w:styleId="Default">
    <w:name w:val="Default"/>
    <w:qFormat/>
    <w:rsid w:val="00570778"/>
    <w:pPr>
      <w:widowControl w:val="0"/>
      <w:autoSpaceDE w:val="0"/>
      <w:autoSpaceDN w:val="0"/>
      <w:adjustRightInd w:val="0"/>
    </w:pPr>
    <w:rPr>
      <w:rFonts w:ascii="宋体" w:hAnsi="Calibri" w:cs="宋体"/>
      <w:color w:val="000000"/>
      <w:sz w:val="24"/>
      <w:szCs w:val="24"/>
    </w:rPr>
  </w:style>
  <w:style w:type="paragraph" w:customStyle="1" w:styleId="ab">
    <w:name w:val="标准文件_段"/>
    <w:qFormat/>
    <w:rsid w:val="00570778"/>
    <w:pPr>
      <w:autoSpaceDE w:val="0"/>
      <w:autoSpaceDN w:val="0"/>
      <w:adjustRightInd w:val="0"/>
      <w:snapToGrid w:val="0"/>
      <w:spacing w:line="276" w:lineRule="auto"/>
      <w:ind w:rightChars="-50" w:right="-105" w:firstLineChars="200" w:firstLine="488"/>
      <w:jc w:val="both"/>
    </w:pPr>
    <w:rPr>
      <w:rFonts w:ascii="宋体" w:hAnsi="宋体" w:cs="黑体"/>
      <w:color w:val="00FF00"/>
      <w:spacing w:val="2"/>
      <w:sz w:val="24"/>
    </w:rPr>
  </w:style>
  <w:style w:type="character" w:customStyle="1" w:styleId="Char">
    <w:name w:val="批注框文本 Char"/>
    <w:basedOn w:val="a0"/>
    <w:link w:val="a3"/>
    <w:uiPriority w:val="99"/>
    <w:semiHidden/>
    <w:qFormat/>
    <w:rsid w:val="00570778"/>
    <w:rPr>
      <w:kern w:val="2"/>
      <w:sz w:val="18"/>
      <w:szCs w:val="18"/>
    </w:rPr>
  </w:style>
  <w:style w:type="character" w:customStyle="1" w:styleId="font11">
    <w:name w:val="font11"/>
    <w:basedOn w:val="a0"/>
    <w:qFormat/>
    <w:rsid w:val="00570778"/>
    <w:rPr>
      <w:rFonts w:ascii="宋体" w:eastAsia="宋体" w:hAnsi="宋体" w:cs="宋体" w:hint="eastAsia"/>
      <w:color w:val="000000"/>
      <w:sz w:val="24"/>
      <w:szCs w:val="24"/>
      <w:u w:val="non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3.bin"/><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image" Target="media/image4.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image" Target="media/image6.png"/><Relationship Id="rId5" Type="http://schemas.openxmlformats.org/officeDocument/2006/relationships/settings" Target="settings.xml"/><Relationship Id="rId15" Type="http://schemas.openxmlformats.org/officeDocument/2006/relationships/image" Target="media/image1.png"/><Relationship Id="rId23" Type="http://schemas.openxmlformats.org/officeDocument/2006/relationships/oleObject" Target="embeddings/oleObject4.bin"/><Relationship Id="rId10" Type="http://schemas.openxmlformats.org/officeDocument/2006/relationships/header" Target="header2.xml"/><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image" Target="media/image5.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172392F-9F98-4DCC-BFC0-36C88A2EF8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9</Pages>
  <Words>905</Words>
  <Characters>5165</Characters>
  <Application>Microsoft Office Word</Application>
  <DocSecurity>0</DocSecurity>
  <Lines>43</Lines>
  <Paragraphs>12</Paragraphs>
  <ScaleCrop>false</ScaleCrop>
  <Company>Microsoft</Company>
  <LinksUpToDate>false</LinksUpToDate>
  <CharactersWithSpaces>6058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开口/闭口闪点仪校准规范编制说明</dc:title>
  <dc:creator>Lenovo User</dc:creator>
  <cp:lastModifiedBy>胡彪</cp:lastModifiedBy>
  <cp:revision>43</cp:revision>
  <cp:lastPrinted>2018-10-17T05:03:00Z</cp:lastPrinted>
  <dcterms:created xsi:type="dcterms:W3CDTF">2018-08-13T10:06:00Z</dcterms:created>
  <dcterms:modified xsi:type="dcterms:W3CDTF">2018-10-22T06:36:00Z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2052-10.1.0.7616</vt:lpwstr>
  </property>
</Properties>
</file>